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8F669" w14:textId="77777777" w:rsidR="00CE1AF6" w:rsidRDefault="00B4625A" w:rsidP="0019476C">
      <w:bookmarkStart w:id="0" w:name="_heading=h.txvdl0cpl0a" w:colFirst="0" w:colLast="0"/>
      <w:bookmarkEnd w:id="0"/>
      <w:r>
        <w:rPr>
          <w:noProof/>
        </w:rPr>
        <w:drawing>
          <wp:inline distT="0" distB="0" distL="0" distR="0" wp14:anchorId="433C66CE" wp14:editId="7F40BB48">
            <wp:extent cx="2854325" cy="1598295"/>
            <wp:effectExtent l="0" t="0" r="0" b="0"/>
            <wp:docPr id="1771735067" name="image1.png" descr="SME update - Accountancy Europe"/>
            <wp:cNvGraphicFramePr/>
            <a:graphic xmlns:a="http://schemas.openxmlformats.org/drawingml/2006/main">
              <a:graphicData uri="http://schemas.openxmlformats.org/drawingml/2006/picture">
                <pic:pic xmlns:pic="http://schemas.openxmlformats.org/drawingml/2006/picture">
                  <pic:nvPicPr>
                    <pic:cNvPr id="0" name="image1.png" descr="SME update - Accountancy Europe"/>
                    <pic:cNvPicPr preferRelativeResize="0"/>
                  </pic:nvPicPr>
                  <pic:blipFill>
                    <a:blip r:embed="rId8"/>
                    <a:srcRect/>
                    <a:stretch>
                      <a:fillRect/>
                    </a:stretch>
                  </pic:blipFill>
                  <pic:spPr>
                    <a:xfrm>
                      <a:off x="0" y="0"/>
                      <a:ext cx="2854325" cy="1598295"/>
                    </a:xfrm>
                    <a:prstGeom prst="rect">
                      <a:avLst/>
                    </a:prstGeom>
                    <a:ln/>
                  </pic:spPr>
                </pic:pic>
              </a:graphicData>
            </a:graphic>
          </wp:inline>
        </w:drawing>
      </w:r>
      <w:r>
        <w:t xml:space="preserve">                  </w:t>
      </w:r>
      <w:r>
        <w:rPr>
          <w:noProof/>
        </w:rPr>
        <w:drawing>
          <wp:inline distT="0" distB="0" distL="0" distR="0" wp14:anchorId="715DC02D" wp14:editId="34A2647A">
            <wp:extent cx="1627044" cy="1465943"/>
            <wp:effectExtent l="0" t="0" r="0" b="0"/>
            <wp:docPr id="17717350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27044" cy="1465943"/>
                    </a:xfrm>
                    <a:prstGeom prst="rect">
                      <a:avLst/>
                    </a:prstGeom>
                    <a:ln/>
                  </pic:spPr>
                </pic:pic>
              </a:graphicData>
            </a:graphic>
          </wp:inline>
        </w:drawing>
      </w:r>
    </w:p>
    <w:p w14:paraId="67F200F2" w14:textId="77777777" w:rsidR="00CE1AF6" w:rsidRDefault="00CE1AF6"/>
    <w:p w14:paraId="4A1B25D8" w14:textId="77777777" w:rsidR="00CE1AF6" w:rsidRDefault="00CE1AF6"/>
    <w:p w14:paraId="0E87B8D2" w14:textId="77777777" w:rsidR="00CE1AF6" w:rsidRDefault="00CE1AF6"/>
    <w:p w14:paraId="07CA129B" w14:textId="77777777" w:rsidR="00CE1AF6" w:rsidRDefault="00B4625A">
      <w:pPr>
        <w:pStyle w:val="Heading1"/>
        <w:ind w:firstLine="360"/>
      </w:pPr>
      <w:r>
        <w:t xml:space="preserve"> </w:t>
      </w:r>
    </w:p>
    <w:p w14:paraId="6E386E44" w14:textId="77777777" w:rsidR="00CE1AF6" w:rsidRDefault="00B4625A">
      <w:pPr>
        <w:ind w:firstLine="360"/>
        <w:jc w:val="center"/>
        <w:rPr>
          <w:rFonts w:ascii="Roboto" w:eastAsia="Roboto" w:hAnsi="Roboto" w:cs="Roboto"/>
          <w:sz w:val="44"/>
          <w:szCs w:val="44"/>
        </w:rPr>
      </w:pPr>
      <w:r>
        <w:rPr>
          <w:rFonts w:ascii="Roboto" w:eastAsia="Roboto" w:hAnsi="Roboto" w:cs="Roboto"/>
          <w:sz w:val="44"/>
          <w:szCs w:val="44"/>
        </w:rPr>
        <w:t xml:space="preserve">Agenda of the Polish Presidency </w:t>
      </w:r>
    </w:p>
    <w:p w14:paraId="05EB1C1F" w14:textId="77777777" w:rsidR="00CE1AF6" w:rsidRDefault="00B4625A">
      <w:pPr>
        <w:ind w:firstLine="360"/>
        <w:jc w:val="center"/>
        <w:rPr>
          <w:rFonts w:ascii="Roboto" w:eastAsia="Roboto" w:hAnsi="Roboto" w:cs="Roboto"/>
          <w:sz w:val="44"/>
          <w:szCs w:val="44"/>
        </w:rPr>
      </w:pPr>
      <w:r>
        <w:rPr>
          <w:rFonts w:ascii="Roboto" w:eastAsia="Roboto" w:hAnsi="Roboto" w:cs="Roboto"/>
          <w:sz w:val="44"/>
          <w:szCs w:val="44"/>
        </w:rPr>
        <w:t xml:space="preserve">of </w:t>
      </w:r>
    </w:p>
    <w:p w14:paraId="27A276A7" w14:textId="77777777" w:rsidR="00CE1AF6" w:rsidRDefault="00B4625A">
      <w:pPr>
        <w:ind w:firstLine="360"/>
        <w:jc w:val="center"/>
        <w:rPr>
          <w:rFonts w:ascii="Roboto" w:eastAsia="Roboto" w:hAnsi="Roboto" w:cs="Roboto"/>
          <w:sz w:val="44"/>
          <w:szCs w:val="44"/>
        </w:rPr>
      </w:pPr>
      <w:r>
        <w:rPr>
          <w:rFonts w:ascii="Roboto" w:eastAsia="Roboto" w:hAnsi="Roboto" w:cs="Roboto"/>
          <w:sz w:val="44"/>
          <w:szCs w:val="44"/>
        </w:rPr>
        <w:t>the Council of the European Union</w:t>
      </w:r>
    </w:p>
    <w:p w14:paraId="1EAEB0A6" w14:textId="77777777" w:rsidR="00CE1AF6" w:rsidRDefault="00CE1AF6">
      <w:pPr>
        <w:pStyle w:val="Heading1"/>
        <w:ind w:firstLine="360"/>
        <w:rPr>
          <w:rFonts w:ascii="Roboto" w:eastAsia="Roboto" w:hAnsi="Roboto" w:cs="Roboto"/>
        </w:rPr>
      </w:pPr>
    </w:p>
    <w:p w14:paraId="2EBB8AD3" w14:textId="77777777" w:rsidR="00CE1AF6" w:rsidRDefault="00CE1AF6">
      <w:pPr>
        <w:pStyle w:val="Heading1"/>
        <w:ind w:firstLine="360"/>
        <w:rPr>
          <w:rFonts w:ascii="Roboto" w:eastAsia="Roboto" w:hAnsi="Roboto" w:cs="Roboto"/>
        </w:rPr>
      </w:pPr>
    </w:p>
    <w:p w14:paraId="6BC9952B" w14:textId="77777777" w:rsidR="00CE1AF6" w:rsidRDefault="00B4625A">
      <w:pPr>
        <w:ind w:firstLine="360"/>
        <w:jc w:val="center"/>
        <w:rPr>
          <w:rFonts w:ascii="Roboto" w:eastAsia="Roboto" w:hAnsi="Roboto" w:cs="Roboto"/>
          <w:sz w:val="40"/>
          <w:szCs w:val="40"/>
        </w:rPr>
      </w:pPr>
      <w:r>
        <w:rPr>
          <w:rFonts w:ascii="Roboto" w:eastAsia="Roboto" w:hAnsi="Roboto" w:cs="Roboto"/>
          <w:sz w:val="40"/>
          <w:szCs w:val="40"/>
        </w:rPr>
        <w:t>Saturday SUNYMEU 2025</w:t>
      </w:r>
    </w:p>
    <w:p w14:paraId="2F6C8EA1" w14:textId="77777777" w:rsidR="00CE1AF6" w:rsidRDefault="00B4625A">
      <w:pPr>
        <w:ind w:firstLine="360"/>
        <w:jc w:val="center"/>
        <w:rPr>
          <w:rFonts w:ascii="Roboto" w:eastAsia="Roboto" w:hAnsi="Roboto" w:cs="Roboto"/>
        </w:rPr>
      </w:pPr>
      <w:r>
        <w:rPr>
          <w:rFonts w:ascii="Roboto" w:eastAsia="Roboto" w:hAnsi="Roboto" w:cs="Roboto"/>
          <w:sz w:val="40"/>
          <w:szCs w:val="40"/>
        </w:rPr>
        <w:t>26 April</w:t>
      </w:r>
      <w:r>
        <w:rPr>
          <w:rFonts w:ascii="Roboto" w:eastAsia="Roboto" w:hAnsi="Roboto" w:cs="Roboto"/>
        </w:rPr>
        <w:br/>
      </w:r>
    </w:p>
    <w:p w14:paraId="72A881A3" w14:textId="77777777" w:rsidR="00CE1AF6" w:rsidRDefault="00B4625A">
      <w:pPr>
        <w:pStyle w:val="Heading3"/>
        <w:spacing w:line="259" w:lineRule="auto"/>
        <w:ind w:firstLine="360"/>
      </w:pPr>
      <w:bookmarkStart w:id="1" w:name="_heading=h.sk0irxudl4ks" w:colFirst="0" w:colLast="0"/>
      <w:bookmarkEnd w:id="1"/>
      <w:r>
        <w:br w:type="page"/>
      </w:r>
    </w:p>
    <w:p w14:paraId="0B8758A8" w14:textId="77777777" w:rsidR="00CE1AF6" w:rsidRDefault="00B4625A">
      <w:pPr>
        <w:pStyle w:val="Heading1"/>
        <w:spacing w:after="160" w:line="259" w:lineRule="auto"/>
        <w:ind w:firstLine="360"/>
      </w:pPr>
      <w:bookmarkStart w:id="2" w:name="_heading=h.ssm3745d3bag" w:colFirst="0" w:colLast="0"/>
      <w:bookmarkStart w:id="3" w:name="_Toc195781902"/>
      <w:bookmarkEnd w:id="2"/>
      <w:r>
        <w:lastRenderedPageBreak/>
        <w:t>Climate Adaptation, Energy Sovereignty, Preparedness and Solidarity</w:t>
      </w:r>
      <w:bookmarkEnd w:id="3"/>
      <w:r>
        <w:t xml:space="preserve"> </w:t>
      </w:r>
    </w:p>
    <w:p w14:paraId="6260CBC4" w14:textId="77777777" w:rsidR="00CE1AF6" w:rsidRDefault="00B4625A">
      <w:pPr>
        <w:pStyle w:val="Heading2"/>
        <w:ind w:firstLine="360"/>
      </w:pPr>
      <w:bookmarkStart w:id="4" w:name="_Toc195781903"/>
      <w:r>
        <w:t>Background</w:t>
      </w:r>
      <w:bookmarkEnd w:id="4"/>
    </w:p>
    <w:p w14:paraId="36761AE2" w14:textId="77777777" w:rsidR="00CE1AF6" w:rsidRDefault="00B4625A">
      <w:r>
        <w:t xml:space="preserve">      In January 2025, the </w:t>
      </w:r>
      <w:hyperlink r:id="rId10">
        <w:r>
          <w:t>Copernicus Climate Change Service</w:t>
        </w:r>
      </w:hyperlink>
      <w:r>
        <w:t xml:space="preserve"> reported that 2024 was the warmest year on record globally: the average global temperature exceeded 1.5℃ above pre-industrial (1850-1900) levels.  The European Environmental Agency’s (EEA) first-ever European Climate Risk Assessment predicted that in the best-case scenario (limiting global warming to 1.5℃ above pre-industrial levels), Europe, which is heating up at twice the global rate, will need to adjust to a climate that is 3 degrees warmer and characterised by more heatwaves, flooding,sea level rise, erosion of coasts, diseases that had been confined to warmer environs, and pests that can survive in warmer climates and could devastate European crops. From 1980 to 2022, natural hazards affected millions of people and have cost Member States €850 billion:  climate change will increase these hazards. </w:t>
      </w:r>
    </w:p>
    <w:p w14:paraId="6BF23387" w14:textId="77777777" w:rsidR="00CE1AF6" w:rsidRDefault="00B4625A">
      <w:r>
        <w:t xml:space="preserve">      Europe has been struggling with waves of irregular migration, a situation that reached crisis proportions in 2015-2016; yet climate change is displacing people from Europe’s neighbouring regions, increasing the likelihood of climate refugees seeking to relocate in EU Member States.</w:t>
      </w:r>
    </w:p>
    <w:p w14:paraId="45AFC3AB" w14:textId="0453CAFC" w:rsidR="00CE1AF6" w:rsidRDefault="00B4625A" w:rsidP="00CA60D2">
      <w:pPr>
        <w:spacing w:after="240"/>
        <w:ind w:firstLine="360"/>
      </w:pPr>
      <w:r>
        <w:t>Our planet needs to slow down the global warming trend, yet a counter narrative has developed in the form of ‘greenhushing’</w:t>
      </w:r>
      <w:r w:rsidR="00CA60D2">
        <w:t>—</w:t>
      </w:r>
      <w:r>
        <w:t xml:space="preserve">companies and countries are not only abandoning green initiatives but attempting to undermine and silence the science of climate change and are attacking the EU’s goal of net neutrality in greenhouse gas (GHG) emissions.  </w:t>
      </w:r>
    </w:p>
    <w:p w14:paraId="02F25A41" w14:textId="77777777" w:rsidR="00CE1AF6" w:rsidRDefault="00B4625A">
      <w:pPr>
        <w:spacing w:after="240"/>
        <w:ind w:firstLine="360"/>
      </w:pPr>
      <w:r>
        <w:t>Many EU Member States have been experiencing difficulty paying for the green transition. The costs of clean energy heating systems are raising living costs and, therefore, are unpopular among many Europeans. Some Member States have been seeking to weaken the EU’s GD targets. For instance, Italy’s current government opposes an array of Union initiatives aimed at making the economy greener, claiming that local businesses cannot meet the cost demands of transition goals.  Germany’s support for the GD and Digital Transformation spurred considerable opposition in its three-party coalition, contributing to the government’s collapse in the autumn of 2024. Support for anti-EU/anti-system parties has accelerated because of Germany’s attempts to meet GD priorities.  A bill to reduce Germany’s carbon footprint by changing the heating of homes and buildings, for example, spurred opposition to responsible governmental action.  The opposition surfacing in Germany and Italy are taking advantage of consumer concern as GD policies are being transposed into law at the Member State level.  Complaints from Member States will likely accelerate as we move closer to 2050.  So, too, enlargement will further stretch the ability of the EU’s annual and MFF budget to finance the Green Deal.</w:t>
      </w:r>
    </w:p>
    <w:p w14:paraId="267D2F01" w14:textId="77777777" w:rsidR="00CE1AF6" w:rsidRDefault="00B4625A">
      <w:pPr>
        <w:spacing w:after="240"/>
        <w:ind w:firstLine="360"/>
      </w:pPr>
      <w:r>
        <w:lastRenderedPageBreak/>
        <w:t>Following the most recent UN Climate Summit (</w:t>
      </w:r>
      <w:hyperlink r:id="rId11">
        <w:r>
          <w:rPr>
            <w:color w:val="1155CC"/>
            <w:u w:val="single"/>
          </w:rPr>
          <w:t>COP29)</w:t>
        </w:r>
      </w:hyperlink>
      <w:r>
        <w:t xml:space="preserve">, adaptation, resilience, and financing the costs of climate change adaptation to developing countries are crucial components of the EU’s climate change mitigation strategy.  The EU is one of the world’s largest donors of international aid, providing 50 billion Euros annually to support global development efforts, including green initiatives. Therefore, this represents an additional claim on the Union’s ability to finance GD policies.  </w:t>
      </w:r>
    </w:p>
    <w:p w14:paraId="2B810678" w14:textId="6BAAB0FA" w:rsidR="00CE1AF6" w:rsidRDefault="00B4625A">
      <w:pPr>
        <w:spacing w:after="240"/>
        <w:ind w:firstLine="360"/>
      </w:pPr>
      <w:r>
        <w:t>Despite this seemingly bleak scenario, the EU has remained the global leader in fostering a greener and more sustainable future by continuously improving existing environmental legislation and adopting new green legislation. The EU must recommit to its goals of reducing GHG emissions by at least 55% by 2030 and achieve net zero GHG emissions by the year 2050 (relative to 1990), all while increasing economic growth spurred by green technologies.  The EU pioneered the concept of ‘climate policy integration’ (CPI</w:t>
      </w:r>
      <w:r w:rsidR="00793A51">
        <w:t>), explicitly</w:t>
      </w:r>
      <w:r>
        <w:t xml:space="preserve"> recognizing that climate change is a cross-cutting problem involving agriculture, energy, environment, trade, construction, transportation, housing, and social and economic justice. Policy integration has proven to be a successful strategy for accelerating sustainable farming practices, promoting eco-tourism, and providing jobs for Europeans in green technologies. Now is not the time for the EU to abandon its successful CPI strategy, but rather to convey to Europeans that CPI is bearing fruit. It will make the EU the world’s leader in </w:t>
      </w:r>
      <w:r w:rsidR="00147768">
        <w:t>green</w:t>
      </w:r>
      <w:r>
        <w:t xml:space="preserve"> technology and provide thousands of new jobs for Europeans in all our Member States.  It is time for the EU to recommit to CPI as a proven strategy for generating economic benefits rather than succumb to the short-sighted retrenchment of climate deniers. </w:t>
      </w:r>
    </w:p>
    <w:p w14:paraId="0FE1F08E" w14:textId="39D7DD53" w:rsidR="00CE1AF6" w:rsidRDefault="00B4625A">
      <w:pPr>
        <w:spacing w:after="240"/>
        <w:ind w:firstLine="360"/>
      </w:pPr>
      <w:r>
        <w:t xml:space="preserve">The way forward for the EU has been </w:t>
      </w:r>
      <w:r w:rsidR="00190589">
        <w:t>modelled</w:t>
      </w:r>
      <w:r>
        <w:t xml:space="preserve"> by those Member States continuing their commitment to achieving net GHG neutrality. In Denmark, there is a promising program to incentivize farmers to reduce CO2 emissions through taxation, which can generate revenue to continue with green initiatives. A project in Greenland, relocating and storing CO2 underground is another example. </w:t>
      </w:r>
    </w:p>
    <w:p w14:paraId="69D62B95" w14:textId="77777777" w:rsidR="00CE1AF6" w:rsidRDefault="00B4625A">
      <w:pPr>
        <w:spacing w:after="240"/>
        <w:ind w:firstLine="360"/>
      </w:pPr>
      <w:r>
        <w:t>The Union needs to subsidise green energy alternatives and raise the direct costs to produce and utilise resource-dependent sources to make green energy desirable and beneficial in the short and long term. However, the GD cannot become an unfunded mandate to cash-strapped EU Member State governments. The Union cannot focus solely on renewable energy generation but must also save energy by retrofitting energy inefficient buildings and replacing and repairing transmission infrastructure.</w:t>
      </w:r>
    </w:p>
    <w:p w14:paraId="5852F594" w14:textId="730ECEF6" w:rsidR="00CE1AF6" w:rsidRDefault="004B56A9">
      <w:pPr>
        <w:spacing w:after="240"/>
        <w:ind w:firstLine="360"/>
      </w:pPr>
      <w:r>
        <w:t>The</w:t>
      </w:r>
      <w:r w:rsidR="00B4625A">
        <w:t xml:space="preserve"> adoption of GD policies among Member States is mixed, with variation among Member States with respect to adaptation, governance, awareness raising, fairness and just resilience, financing, and nature-based solutions.  The Union needs to address these issues.</w:t>
      </w:r>
    </w:p>
    <w:p w14:paraId="01A411AD" w14:textId="37E10B55" w:rsidR="00CE1AF6" w:rsidRDefault="00B4625A">
      <w:pPr>
        <w:spacing w:after="240"/>
        <w:ind w:firstLine="360"/>
      </w:pPr>
      <w:r>
        <w:t xml:space="preserve">Finally, the EU must work to implement the targets laid out in the Critical Raw Materials Act (CRMA), enacted in May 2024. The CRMA seeks to boost the EU’s production of 17 </w:t>
      </w:r>
      <w:r>
        <w:lastRenderedPageBreak/>
        <w:t>materials deemed critical for security and achieving GHG net neutrality. Lithium, cobalt and nickel are used to produce batteries; gallium is used in solar panels; raw boron is used in wind technologies; titanium and tungsten are used in the space and defence sectors. EU demand for rare earth metals is expected to increase six-fold by 2030 and seven-fold by 2050</w:t>
      </w:r>
      <w:r w:rsidR="009A52BE">
        <w:t xml:space="preserve">. </w:t>
      </w:r>
      <w:r>
        <w:t>EU demand</w:t>
      </w:r>
      <w:r w:rsidR="009A52BE">
        <w:t xml:space="preserve"> or lithium</w:t>
      </w:r>
      <w:r>
        <w:t xml:space="preserve"> is expected to increase twelve-fold by 2030 and twenty-one-fold by 2050. The EU relies heavily on imports and is 100% dependent on China for the rare earths used to produce radars, sonars, and targeting systems. Recent crises have underlined the EU’s strategic dependencies.</w:t>
      </w:r>
    </w:p>
    <w:p w14:paraId="0E46C456" w14:textId="77777777" w:rsidR="00CE1AF6" w:rsidRDefault="00B4625A">
      <w:pPr>
        <w:pStyle w:val="Heading2"/>
        <w:ind w:firstLine="360"/>
      </w:pPr>
      <w:r>
        <w:t xml:space="preserve"> </w:t>
      </w:r>
      <w:bookmarkStart w:id="5" w:name="_Toc195781904"/>
      <w:r>
        <w:t>Recommendations</w:t>
      </w:r>
      <w:bookmarkEnd w:id="5"/>
    </w:p>
    <w:p w14:paraId="4BE6CA58" w14:textId="77777777" w:rsidR="00CE1AF6" w:rsidRPr="004C795A" w:rsidRDefault="00B4625A" w:rsidP="004C795A">
      <w:pPr>
        <w:spacing w:line="240" w:lineRule="auto"/>
      </w:pPr>
      <w:r>
        <w:t xml:space="preserve"> </w:t>
      </w:r>
    </w:p>
    <w:p w14:paraId="6FED72A9" w14:textId="77777777" w:rsidR="00CE1AF6" w:rsidRDefault="00B4625A">
      <w:pPr>
        <w:numPr>
          <w:ilvl w:val="0"/>
          <w:numId w:val="10"/>
        </w:numPr>
        <w:spacing w:after="240"/>
      </w:pPr>
      <w:r>
        <w:t xml:space="preserve">Recommit to the Commission’s interim target of reducing GHG emissions by 90% by 2040 relative to 1990. This is an important interim target between our initial 2030 agreement and the long-range target for 2050 for the first continent to achieve climate neutrality (no net GHG emissions).  </w:t>
      </w:r>
    </w:p>
    <w:p w14:paraId="0354BA14" w14:textId="77777777" w:rsidR="00CE1AF6" w:rsidRDefault="00B4625A">
      <w:pPr>
        <w:numPr>
          <w:ilvl w:val="0"/>
          <w:numId w:val="10"/>
        </w:numPr>
        <w:spacing w:after="240"/>
      </w:pPr>
      <w:r>
        <w:t xml:space="preserve">Subsidies from the NextGenEU shall be aimed for companies developing and integrating renewable energy sources such as solar, wind, hydroelectric, and nuclear power. </w:t>
      </w:r>
    </w:p>
    <w:p w14:paraId="64734E55" w14:textId="77777777" w:rsidR="00CE1AF6" w:rsidRDefault="00B4625A">
      <w:pPr>
        <w:numPr>
          <w:ilvl w:val="0"/>
          <w:numId w:val="10"/>
        </w:numPr>
        <w:spacing w:after="240"/>
      </w:pPr>
      <w:r>
        <w:t>Additional funds shall be made available to boost public-private partnerships to leverage the expertise and resources of both sectors to drive innovation, scale up renewable energy projects, and create new job opportunities in the green economy.</w:t>
      </w:r>
    </w:p>
    <w:p w14:paraId="3690EE25" w14:textId="77777777" w:rsidR="00CE1AF6" w:rsidRDefault="00B4625A">
      <w:pPr>
        <w:numPr>
          <w:ilvl w:val="0"/>
          <w:numId w:val="10"/>
        </w:numPr>
        <w:spacing w:after="240"/>
      </w:pPr>
      <w:r>
        <w:t>Ensure widespread availability of the Galileo Emergency Warning Satellite Service (EWSS) with the objective of being able to communicate alerts to people, businesses, and public authorities throughout Europe.  Provide subsidies through NextGenEU to ensure all Europeans have access.</w:t>
      </w:r>
    </w:p>
    <w:p w14:paraId="710CD50F" w14:textId="77777777" w:rsidR="00CE1AF6" w:rsidRDefault="00B4625A">
      <w:pPr>
        <w:numPr>
          <w:ilvl w:val="0"/>
          <w:numId w:val="10"/>
        </w:numPr>
        <w:spacing w:after="240"/>
      </w:pPr>
      <w:r>
        <w:t>The European Commission is directed to commit NextGenEU funds to the retrofitting of inefficient buildings.</w:t>
      </w:r>
    </w:p>
    <w:p w14:paraId="14569591" w14:textId="77777777" w:rsidR="00CE1AF6" w:rsidRDefault="00B4625A">
      <w:pPr>
        <w:numPr>
          <w:ilvl w:val="0"/>
          <w:numId w:val="10"/>
        </w:numPr>
        <w:spacing w:after="240"/>
      </w:pPr>
      <w:r>
        <w:t>The European Commission is directed to commit NextGenEU funds to repairing aging energy transmission infrastructure.</w:t>
      </w:r>
    </w:p>
    <w:p w14:paraId="58B48B8E" w14:textId="77777777" w:rsidR="00CE1AF6" w:rsidRDefault="00B4625A">
      <w:pPr>
        <w:numPr>
          <w:ilvl w:val="0"/>
          <w:numId w:val="10"/>
        </w:numPr>
        <w:spacing w:after="240"/>
      </w:pPr>
      <w:r>
        <w:t>The European Council authorises the EEA to work within the Digital Services Act to combat disinformation, especially with respect to climate change deniers.</w:t>
      </w:r>
    </w:p>
    <w:p w14:paraId="215AA30D" w14:textId="275D9164" w:rsidR="00CE1AF6" w:rsidRDefault="00B4625A">
      <w:pPr>
        <w:numPr>
          <w:ilvl w:val="0"/>
          <w:numId w:val="10"/>
        </w:numPr>
        <w:spacing w:after="240"/>
      </w:pPr>
      <w:r>
        <w:t>The European Council asks the European Commission to consider a new European Extractive and Circular Waste Regulation to harmonise the waste left from mining extraction.  This waste is increasingly important for extracting critical raw materials.</w:t>
      </w:r>
    </w:p>
    <w:p w14:paraId="2D2DE2BF" w14:textId="4B9F69B1" w:rsidR="00CE1AF6" w:rsidRDefault="00B4625A">
      <w:pPr>
        <w:numPr>
          <w:ilvl w:val="0"/>
          <w:numId w:val="10"/>
        </w:numPr>
        <w:spacing w:after="240"/>
      </w:pPr>
      <w:r>
        <w:lastRenderedPageBreak/>
        <w:t xml:space="preserve">The European Council congratulates the European Commission in its identification of 47 strategic projects across 13 EU Member States to bolster the production of 14 critical minerals including aluminium, copper, nickel, lithium, and rare earth elements.  </w:t>
      </w:r>
    </w:p>
    <w:p w14:paraId="546075A1" w14:textId="77777777" w:rsidR="00CE1AF6" w:rsidRDefault="00B4625A">
      <w:pPr>
        <w:numPr>
          <w:ilvl w:val="0"/>
          <w:numId w:val="10"/>
        </w:numPr>
        <w:spacing w:after="240"/>
      </w:pPr>
      <w:r>
        <w:t xml:space="preserve">The European Council reminds the Member States of the importance of meeting the CRMA targets for European consumption:  mine 10%, process 40%, and recycle 25% of its CRMA needs by 2030.  Decreasing dependence on third countries for CRMAs is crucial.   Member States are also reminded of the importance of streamlining applications to permit mining (24 months maximum) and processing and recycling (12 months maximum). </w:t>
      </w:r>
    </w:p>
    <w:p w14:paraId="138D7CD4" w14:textId="3150B694" w:rsidR="00CE1AF6" w:rsidRDefault="00B4625A">
      <w:pPr>
        <w:numPr>
          <w:ilvl w:val="0"/>
          <w:numId w:val="10"/>
        </w:numPr>
        <w:spacing w:after="240"/>
      </w:pPr>
      <w:r>
        <w:t xml:space="preserve">The European Council reminds the European Commission to be vigilant in monitoring </w:t>
      </w:r>
      <w:r w:rsidR="00581E28">
        <w:t xml:space="preserve"> </w:t>
      </w:r>
      <w:r>
        <w:t>European companies that may be tempted to import minerals from conflict areas, which is strictly prohibited in EU law.</w:t>
      </w:r>
    </w:p>
    <w:p w14:paraId="35FA949A" w14:textId="00792A84" w:rsidR="00CE1AF6" w:rsidRDefault="00B4625A">
      <w:pPr>
        <w:numPr>
          <w:ilvl w:val="0"/>
          <w:numId w:val="10"/>
        </w:numPr>
        <w:spacing w:after="240"/>
      </w:pPr>
      <w:r>
        <w:t>The European Council directs the European Commission to accelerate negotiations with Australia, Canada, and African nations for long-term partnerships to reduce dependency on any single country for Europe’s CRM needs.</w:t>
      </w:r>
    </w:p>
    <w:p w14:paraId="6923ABA3" w14:textId="4360C482" w:rsidR="00CE1AF6" w:rsidRDefault="00B4625A">
      <w:pPr>
        <w:numPr>
          <w:ilvl w:val="0"/>
          <w:numId w:val="10"/>
        </w:numPr>
        <w:spacing w:after="240"/>
      </w:pPr>
      <w:r>
        <w:t xml:space="preserve">Recalling the Union’s commitment to CPI – the </w:t>
      </w:r>
      <w:hyperlink r:id="rId12">
        <w:r>
          <w:rPr>
            <w:color w:val="1155CC"/>
            <w:u w:val="single"/>
          </w:rPr>
          <w:t>Clean Industrial Deal</w:t>
        </w:r>
      </w:hyperlink>
      <w:r>
        <w:t xml:space="preserve"> and achieving energy sovereignty by 2050, the European Council calls for an increased effort to fully integrate and interconnect the EU energy market through cross-border partnerships, for Member States to lower taxes on electricity, and enable consumers to switch energy suppliers more easily.  </w:t>
      </w:r>
    </w:p>
    <w:p w14:paraId="187C884D" w14:textId="77777777" w:rsidR="00CE1AF6" w:rsidRDefault="00B4625A">
      <w:pPr>
        <w:numPr>
          <w:ilvl w:val="0"/>
          <w:numId w:val="10"/>
        </w:numPr>
        <w:spacing w:after="240"/>
      </w:pPr>
      <w:r>
        <w:t xml:space="preserve">The Commission is commended for its efforts toward building the Energy Union and is asked to be mindful of assuring all EU citizens have access to affordable energy.  </w:t>
      </w:r>
    </w:p>
    <w:p w14:paraId="7C859DA7" w14:textId="77777777" w:rsidR="00CE1AF6" w:rsidRDefault="00CE1AF6"/>
    <w:p w14:paraId="2CFE0BE7" w14:textId="77777777" w:rsidR="00CE1AF6" w:rsidRDefault="00CE1AF6"/>
    <w:p w14:paraId="291B56B0" w14:textId="77777777" w:rsidR="00CE1AF6" w:rsidRDefault="00CE1AF6"/>
    <w:p w14:paraId="18D97981" w14:textId="77777777" w:rsidR="00CE1AF6" w:rsidRDefault="00CE1AF6"/>
    <w:p w14:paraId="6A16FBFD" w14:textId="77777777" w:rsidR="00CE1AF6" w:rsidRDefault="00B4625A">
      <w:pPr>
        <w:spacing w:after="160" w:line="259" w:lineRule="auto"/>
        <w:ind w:firstLine="360"/>
        <w:rPr>
          <w:sz w:val="36"/>
          <w:szCs w:val="36"/>
        </w:rPr>
      </w:pPr>
      <w:r>
        <w:br w:type="page"/>
      </w:r>
    </w:p>
    <w:p w14:paraId="05E382A7" w14:textId="77777777" w:rsidR="00CE1AF6" w:rsidRDefault="00B4625A">
      <w:pPr>
        <w:pStyle w:val="Heading1"/>
        <w:ind w:firstLine="360"/>
      </w:pPr>
      <w:bookmarkStart w:id="6" w:name="_Toc195781905"/>
      <w:r>
        <w:lastRenderedPageBreak/>
        <w:t>Supporting an Independent Ukraine</w:t>
      </w:r>
      <w:bookmarkEnd w:id="6"/>
    </w:p>
    <w:p w14:paraId="0417FF16" w14:textId="77777777" w:rsidR="00CE1AF6" w:rsidRDefault="00B4625A">
      <w:pPr>
        <w:pStyle w:val="Heading2"/>
        <w:ind w:firstLine="360"/>
      </w:pPr>
      <w:bookmarkStart w:id="7" w:name="_Toc195781906"/>
      <w:r>
        <w:t>Background</w:t>
      </w:r>
      <w:bookmarkEnd w:id="7"/>
    </w:p>
    <w:p w14:paraId="27A1AE3C" w14:textId="77777777" w:rsidR="00CE1AF6" w:rsidRDefault="00B4625A" w:rsidP="00AC1547">
      <w:pPr>
        <w:ind w:firstLine="360"/>
      </w:pPr>
      <w:r>
        <w:t xml:space="preserve">The nation of Ukraine has been subjected to an unlawful invasion by Russia. Russia has killed Ukrainian civilians and kidnapped children.  The carnage has continued, with Russia’s attack on Sumy on 13 April during the holy feast day of Palm Sunday, massacring 34 civilians on their way to church.  </w:t>
      </w:r>
    </w:p>
    <w:p w14:paraId="00A5F2F7" w14:textId="5017AC1E" w:rsidR="00CE1AF6" w:rsidRDefault="00B4625A">
      <w:pPr>
        <w:spacing w:before="140" w:after="280"/>
        <w:ind w:firstLine="360"/>
      </w:pPr>
      <w:r>
        <w:t xml:space="preserve">Russia’s war of aggression against Ukraine and its repercussions for European and global security in a changing environment constitute an existential challenge for the European Union. Since the invasion of Ukraine in February of 2022, the </w:t>
      </w:r>
      <w:r w:rsidR="00CF20D2">
        <w:t>EU</w:t>
      </w:r>
      <w:r>
        <w:t xml:space="preserve"> has made it a priority to repel Putin’s attempt to destabilize Europe, and to secure the sovereignty of Ukraine. This unprecedented act of aggression threatens not only Ukraine’s sovereignty, but the security of all of Europe. Efforts to support Ukraine must be ramped up by EU members and other European countries. Therefore, the EU has implemented sanctions on Russia and its allies, including North Korea and Belarus, in efforts to affect their ability to continue the war. As of February 2025, through the EU’s Ukraine Facility plan, about €50 billion has been promised to Ukraine for reconstruction and economic recovery, in the form of grants and loans, totalling about €198 billion in humanitarian and military aid committed to Ukraine up to 2027.  However, despite the €49.3 billion in military aid already given (€1.6 billion coming from seized Russian assets), and the inauspicious US intervention in peace negotiations, there seems to be no indication of when, or how, the conflict will end. </w:t>
      </w:r>
      <w:r w:rsidR="00443B81">
        <w:t>Russia h</w:t>
      </w:r>
      <w:r w:rsidR="00D8358E">
        <w:t xml:space="preserve">as </w:t>
      </w:r>
      <w:r>
        <w:t>repeatedly violated ceasefires, and it is impossible to know when or if th</w:t>
      </w:r>
      <w:r w:rsidR="00443B81">
        <w:t>eir</w:t>
      </w:r>
      <w:r>
        <w:t xml:space="preserve"> expansionist practices will be complete.  Ultimately, providing Ukraine with the necessary support of the EU is also crucial for the security of other states as well. A Russian victory in Ukraine could provide the precedent for their allies, such as China and North Korea, to pursue their own interests in terms of territorial expansion causing further geopolitical turmoil. </w:t>
      </w:r>
    </w:p>
    <w:p w14:paraId="7966A5EC" w14:textId="77777777" w:rsidR="00CE1AF6" w:rsidRDefault="00B4625A">
      <w:pPr>
        <w:pStyle w:val="Heading2"/>
        <w:ind w:firstLine="360"/>
      </w:pPr>
      <w:bookmarkStart w:id="8" w:name="_Toc195781907"/>
      <w:r>
        <w:t>Recommendations</w:t>
      </w:r>
      <w:bookmarkEnd w:id="8"/>
    </w:p>
    <w:p w14:paraId="71F857C7" w14:textId="77777777" w:rsidR="00CE1AF6" w:rsidRDefault="00B4625A">
      <w:pPr>
        <w:numPr>
          <w:ilvl w:val="0"/>
          <w:numId w:val="9"/>
        </w:numPr>
      </w:pPr>
      <w:r>
        <w:t>Proceed with a new (17th) round of sanctions against Russia, regardless of whether the US agrees.</w:t>
      </w:r>
    </w:p>
    <w:p w14:paraId="5F4C5B36" w14:textId="77777777" w:rsidR="00CE1AF6" w:rsidRDefault="00B4625A">
      <w:pPr>
        <w:numPr>
          <w:ilvl w:val="0"/>
          <w:numId w:val="9"/>
        </w:numPr>
      </w:pPr>
      <w:r>
        <w:t>Seize the €260 billion of frozen Russian assets being held by the G7 (the EU, US, UK, Canada, and Japan). The EU shall fund Ukraine aid with Russian frozen assets. The Commission is directed to establish a Ukraine facility for determining the types and schedule to distribute the frozen assets for defence, infrastructure, and humanitarian aid to Ukraine.</w:t>
      </w:r>
    </w:p>
    <w:p w14:paraId="0F541271" w14:textId="77777777" w:rsidR="00CE1AF6" w:rsidRDefault="00B4625A">
      <w:pPr>
        <w:numPr>
          <w:ilvl w:val="0"/>
          <w:numId w:val="9"/>
        </w:numPr>
      </w:pPr>
      <w:r>
        <w:t>The European Council urges Russia to agree to an unconditional ceasefire.</w:t>
      </w:r>
    </w:p>
    <w:p w14:paraId="27543B24" w14:textId="042B5382" w:rsidR="00CE1AF6" w:rsidRDefault="00B4625A">
      <w:pPr>
        <w:numPr>
          <w:ilvl w:val="0"/>
          <w:numId w:val="9"/>
        </w:numPr>
      </w:pPr>
      <w:r>
        <w:lastRenderedPageBreak/>
        <w:t xml:space="preserve">The European Council supports the ‘Coalition of the Willing’ group led by France and the UK that now has attracted the support of 31 counties.  We urge those EU Member States that have not joined the Coalition to do so.  The European Council wishes to reiterate its support for the Coalition of the Willing plan to defend Ukraine’s internationally recognized borders and oppose attempts by Russia to annex territory; provide military training and aid, particularly train Ukrainian soldiers through the EU Military Assistance Mission (EUMAM); strengthen Ukraine’s defence capabilities (especially NATO-interoperability) and share intelligence; continue to apply pressure on Russia through sanctions; provide economic and humanitarian assistance in the rebuilding efforts; uphold the rules-based order, particularly in holding Russia accountable for war crimes; defend the terms of any peacekeeping agreement.  </w:t>
      </w:r>
    </w:p>
    <w:p w14:paraId="656D8F7F" w14:textId="0EC3BFE0" w:rsidR="00CE1AF6" w:rsidRDefault="00B4625A">
      <w:pPr>
        <w:numPr>
          <w:ilvl w:val="0"/>
          <w:numId w:val="9"/>
        </w:numPr>
      </w:pPr>
      <w:r>
        <w:t>The European Council urges national parliaments to approve the deployment of troops for Ukraine</w:t>
      </w:r>
      <w:r w:rsidR="00081E92">
        <w:t>’s</w:t>
      </w:r>
      <w:r>
        <w:t xml:space="preserve"> peacekeeping effort</w:t>
      </w:r>
      <w:r w:rsidR="00081E92">
        <w:t>s</w:t>
      </w:r>
      <w:r>
        <w:t>.</w:t>
      </w:r>
    </w:p>
    <w:p w14:paraId="3726D68D" w14:textId="77777777" w:rsidR="00CE1AF6" w:rsidRDefault="00B4625A">
      <w:pPr>
        <w:numPr>
          <w:ilvl w:val="0"/>
          <w:numId w:val="9"/>
        </w:numPr>
      </w:pPr>
      <w:r>
        <w:t xml:space="preserve">The European Council urges the US to join the Coalition of the Willing.  </w:t>
      </w:r>
    </w:p>
    <w:p w14:paraId="6801A9C6" w14:textId="77777777" w:rsidR="00CE1AF6" w:rsidRDefault="00B4625A">
      <w:pPr>
        <w:numPr>
          <w:ilvl w:val="0"/>
          <w:numId w:val="9"/>
        </w:numPr>
        <w:spacing w:after="160" w:line="259" w:lineRule="auto"/>
        <w:rPr>
          <w:color w:val="212529"/>
          <w:highlight w:val="white"/>
        </w:rPr>
      </w:pPr>
      <w:r>
        <w:rPr>
          <w:color w:val="212529"/>
          <w:highlight w:val="white"/>
        </w:rPr>
        <w:t xml:space="preserve">All European officials, including those representing EU candidate states, are strongly urged to boycott Putin’s 9 May 2025 ‘Victory Day’ parade.  Attending this parade is not in line with the European values to which candidate states agreed as a condition of the candidate status.  </w:t>
      </w:r>
    </w:p>
    <w:p w14:paraId="22DB06DE" w14:textId="35BD64BC" w:rsidR="00CE1AF6" w:rsidRDefault="00B4625A">
      <w:pPr>
        <w:numPr>
          <w:ilvl w:val="0"/>
          <w:numId w:val="9"/>
        </w:numPr>
        <w:spacing w:after="160" w:line="259" w:lineRule="auto"/>
      </w:pPr>
      <w:r>
        <w:t xml:space="preserve">Assistance with rebuilding Ukrainian infrastructure (military bases, farms, roads, railways, airports, power plants) to maintain stable sources of energy and food; bolster </w:t>
      </w:r>
      <w:r w:rsidR="00190589">
        <w:t>defences</w:t>
      </w:r>
      <w:r>
        <w:t xml:space="preserve"> to deter Russian aggression. </w:t>
      </w:r>
      <w:r w:rsidR="00242157">
        <w:t>Doing</w:t>
      </w:r>
      <w:r>
        <w:t xml:space="preserve"> so would also help Ukraine with its development to comply with the standards of the European Union, and NATO. The Ukraine Facility plan would be the main source of funding, through bonds and grants, for construction projects and welfare programs. Additional funds could be obtained through increased corporate taxes of multinational companies operating within the EU. We would also encourage any </w:t>
      </w:r>
      <w:r w:rsidR="005C66EB">
        <w:t>Member State</w:t>
      </w:r>
      <w:r>
        <w:t xml:space="preserve"> to individually contribute to the recovery process. </w:t>
      </w:r>
      <w:r w:rsidR="00870CB5">
        <w:t>The European Council</w:t>
      </w:r>
      <w:r>
        <w:t xml:space="preserve"> encourage</w:t>
      </w:r>
      <w:r w:rsidR="00870CB5">
        <w:t>s</w:t>
      </w:r>
      <w:r w:rsidR="0001250A">
        <w:t xml:space="preserve"> </w:t>
      </w:r>
      <w:r>
        <w:t xml:space="preserve"> an increase in cooperation with international and regional NGOs throughout Europe for the purpose of efficient distribution of aid and additional services for those affected by the conflict (e.g. medical, food, shelter).  Facilitated through the European Commission's Directorate-General for International Partnerships, funds are recommended to be paid out quarterly, with audits every fiscal half year to ensure aid is used properly. </w:t>
      </w:r>
    </w:p>
    <w:p w14:paraId="47A348BE" w14:textId="77777777" w:rsidR="00CE1AF6" w:rsidRDefault="00B4625A">
      <w:pPr>
        <w:numPr>
          <w:ilvl w:val="0"/>
          <w:numId w:val="9"/>
        </w:numPr>
        <w:spacing w:after="160" w:line="259" w:lineRule="auto"/>
      </w:pPr>
      <w:r>
        <w:rPr>
          <w:color w:val="212529"/>
          <w:highlight w:val="white"/>
        </w:rPr>
        <w:t>Expand inclusive relations, including EU enlargement and agricultural trade, while countering foreign interference and information manipulation, strengthening democratic resilience and preparing negotiations of the new Multiannual Financial Framework.</w:t>
      </w:r>
    </w:p>
    <w:p w14:paraId="5E2A6F8C" w14:textId="77777777" w:rsidR="00CE1AF6" w:rsidRDefault="00B4625A">
      <w:pPr>
        <w:numPr>
          <w:ilvl w:val="0"/>
          <w:numId w:val="9"/>
        </w:numPr>
        <w:spacing w:after="160" w:line="259" w:lineRule="auto"/>
        <w:rPr>
          <w:color w:val="212529"/>
          <w:highlight w:val="white"/>
        </w:rPr>
      </w:pPr>
      <w:r>
        <w:rPr>
          <w:color w:val="212529"/>
          <w:highlight w:val="white"/>
        </w:rPr>
        <w:t xml:space="preserve"> Ban imports of Russian liquid natural gas.</w:t>
      </w:r>
    </w:p>
    <w:p w14:paraId="1D06357D" w14:textId="77777777" w:rsidR="00CE1AF6" w:rsidRDefault="00B4625A">
      <w:pPr>
        <w:numPr>
          <w:ilvl w:val="0"/>
          <w:numId w:val="9"/>
        </w:numPr>
        <w:spacing w:after="160" w:line="259" w:lineRule="auto"/>
        <w:rPr>
          <w:color w:val="212529"/>
          <w:highlight w:val="white"/>
        </w:rPr>
      </w:pPr>
      <w:r>
        <w:rPr>
          <w:color w:val="212529"/>
          <w:highlight w:val="white"/>
        </w:rPr>
        <w:t xml:space="preserve"> Blacklist Rosatom, Russia’s nuclear-energy company.</w:t>
      </w:r>
    </w:p>
    <w:p w14:paraId="123EB7E8" w14:textId="581B4D8D" w:rsidR="00CE1AF6" w:rsidRDefault="00B4625A">
      <w:pPr>
        <w:numPr>
          <w:ilvl w:val="0"/>
          <w:numId w:val="9"/>
        </w:numPr>
        <w:spacing w:after="160" w:line="259" w:lineRule="auto"/>
        <w:rPr>
          <w:color w:val="212529"/>
          <w:highlight w:val="white"/>
        </w:rPr>
      </w:pPr>
      <w:r>
        <w:rPr>
          <w:color w:val="212529"/>
          <w:highlight w:val="white"/>
        </w:rPr>
        <w:lastRenderedPageBreak/>
        <w:t xml:space="preserve">Continue to track and ban the shadow fleet of oil tankers transporting </w:t>
      </w:r>
      <w:r w:rsidR="00190589">
        <w:rPr>
          <w:color w:val="212529"/>
          <w:highlight w:val="white"/>
        </w:rPr>
        <w:t>banned Russian</w:t>
      </w:r>
      <w:r>
        <w:rPr>
          <w:color w:val="212529"/>
          <w:highlight w:val="white"/>
        </w:rPr>
        <w:t xml:space="preserve"> </w:t>
      </w:r>
      <w:r w:rsidR="00AC1547">
        <w:rPr>
          <w:color w:val="212529"/>
          <w:highlight w:val="white"/>
        </w:rPr>
        <w:t>oil from</w:t>
      </w:r>
      <w:r>
        <w:rPr>
          <w:color w:val="212529"/>
          <w:highlight w:val="white"/>
        </w:rPr>
        <w:t xml:space="preserve"> docking at EU ports.  The captains of these tankers should be prosecuted for war crimes.</w:t>
      </w:r>
    </w:p>
    <w:p w14:paraId="0B21FB4D" w14:textId="66304A07" w:rsidR="00CE1AF6" w:rsidRDefault="00B4625A">
      <w:pPr>
        <w:numPr>
          <w:ilvl w:val="0"/>
          <w:numId w:val="9"/>
        </w:numPr>
        <w:spacing w:after="160" w:line="259" w:lineRule="auto"/>
        <w:rPr>
          <w:color w:val="212529"/>
          <w:highlight w:val="white"/>
        </w:rPr>
      </w:pPr>
      <w:r>
        <w:rPr>
          <w:color w:val="212529"/>
          <w:highlight w:val="white"/>
        </w:rPr>
        <w:t>Expand the blacklist to include more individuals who are supporting Putin.   These should include the owners and captains of the shadow fleet of oil tankers. Their EU visas should be revoked and their assets frozen.</w:t>
      </w:r>
    </w:p>
    <w:p w14:paraId="31B27F68" w14:textId="6594CADA" w:rsidR="00CE1AF6" w:rsidRDefault="00B4625A">
      <w:pPr>
        <w:numPr>
          <w:ilvl w:val="0"/>
          <w:numId w:val="9"/>
        </w:numPr>
        <w:spacing w:after="160" w:line="259" w:lineRule="auto"/>
        <w:rPr>
          <w:color w:val="212529"/>
          <w:highlight w:val="white"/>
        </w:rPr>
      </w:pPr>
      <w:r>
        <w:rPr>
          <w:color w:val="212529"/>
          <w:highlight w:val="white"/>
        </w:rPr>
        <w:t>The European Council urges the European Commission to step up its efforts to counter Russia’s misinformation attacks, which have attempted to turn European farmers against Ukraine.  The European Commission is asked to use all available outlets to explain that Ukrainian agricultural output is complementary rather than competitive with the EU’s agricultural products.</w:t>
      </w:r>
    </w:p>
    <w:p w14:paraId="27CE88BB" w14:textId="18370502" w:rsidR="00CE1AF6" w:rsidRDefault="00B4625A">
      <w:pPr>
        <w:numPr>
          <w:ilvl w:val="0"/>
          <w:numId w:val="9"/>
        </w:numPr>
        <w:spacing w:after="160" w:line="259" w:lineRule="auto"/>
        <w:rPr>
          <w:color w:val="212529"/>
          <w:highlight w:val="white"/>
        </w:rPr>
      </w:pPr>
      <w:r>
        <w:rPr>
          <w:color w:val="212529"/>
          <w:highlight w:val="white"/>
        </w:rPr>
        <w:t>The European Council directs the European Commission to make further concrete efforts towards integrating Ukraine’s energy sector with that of the EU.</w:t>
      </w:r>
    </w:p>
    <w:p w14:paraId="39604081" w14:textId="11C7E237" w:rsidR="00CE1AF6" w:rsidRDefault="00B4625A">
      <w:pPr>
        <w:numPr>
          <w:ilvl w:val="0"/>
          <w:numId w:val="9"/>
        </w:numPr>
        <w:spacing w:after="160" w:line="259" w:lineRule="auto"/>
        <w:rPr>
          <w:color w:val="212529"/>
          <w:highlight w:val="white"/>
        </w:rPr>
      </w:pPr>
      <w:r>
        <w:rPr>
          <w:color w:val="212529"/>
          <w:highlight w:val="white"/>
        </w:rPr>
        <w:t>Duties on products from Ukraine have been suspended since June 2022 following Russia’s invasion.  The European Council calls on the Commission to extend the suspension of import duties and quotas on Ukrainian exports until the end of 2025.</w:t>
      </w:r>
    </w:p>
    <w:p w14:paraId="3C977526" w14:textId="77777777" w:rsidR="00CE1AF6" w:rsidRDefault="00B4625A">
      <w:pPr>
        <w:numPr>
          <w:ilvl w:val="0"/>
          <w:numId w:val="9"/>
        </w:numPr>
        <w:spacing w:after="160" w:line="259" w:lineRule="auto"/>
        <w:rPr>
          <w:color w:val="212529"/>
          <w:highlight w:val="white"/>
        </w:rPr>
      </w:pPr>
      <w:r>
        <w:rPr>
          <w:color w:val="212529"/>
          <w:highlight w:val="white"/>
        </w:rPr>
        <w:t xml:space="preserve"> Formally set 1 January 2030 as Ukraine’s EU-accession date.</w:t>
      </w:r>
    </w:p>
    <w:p w14:paraId="1975F5F1" w14:textId="77777777" w:rsidR="00CE1AF6" w:rsidRDefault="00CE1AF6">
      <w:pPr>
        <w:spacing w:after="160" w:line="259" w:lineRule="auto"/>
        <w:ind w:left="0"/>
      </w:pPr>
    </w:p>
    <w:p w14:paraId="5D68EECC" w14:textId="77777777" w:rsidR="00CE1AF6" w:rsidRDefault="00CE1AF6">
      <w:pPr>
        <w:ind w:left="0"/>
      </w:pPr>
    </w:p>
    <w:p w14:paraId="1D9DF68E" w14:textId="77777777" w:rsidR="00CE1AF6" w:rsidRDefault="00CE1AF6">
      <w:pPr>
        <w:ind w:firstLine="360"/>
        <w:rPr>
          <w:b/>
        </w:rPr>
      </w:pPr>
    </w:p>
    <w:p w14:paraId="50087562" w14:textId="77777777" w:rsidR="00CE1AF6" w:rsidRDefault="00CE1AF6">
      <w:pPr>
        <w:spacing w:after="160" w:line="259" w:lineRule="auto"/>
        <w:ind w:firstLine="360"/>
        <w:rPr>
          <w:sz w:val="36"/>
          <w:szCs w:val="36"/>
        </w:rPr>
      </w:pPr>
    </w:p>
    <w:p w14:paraId="6F8C1B99" w14:textId="3C3E0C35" w:rsidR="0001250A" w:rsidRDefault="0001250A">
      <w:pPr>
        <w:rPr>
          <w:sz w:val="36"/>
          <w:szCs w:val="36"/>
        </w:rPr>
      </w:pPr>
      <w:r>
        <w:rPr>
          <w:sz w:val="36"/>
          <w:szCs w:val="36"/>
        </w:rPr>
        <w:br w:type="page"/>
      </w:r>
    </w:p>
    <w:p w14:paraId="467B5630" w14:textId="77777777" w:rsidR="00CE1AF6" w:rsidRDefault="00B4625A">
      <w:pPr>
        <w:pStyle w:val="Heading1"/>
        <w:ind w:firstLine="360"/>
      </w:pPr>
      <w:bookmarkStart w:id="9" w:name="_Toc195781908"/>
      <w:r>
        <w:lastRenderedPageBreak/>
        <w:t>European Union Corporate Tax</w:t>
      </w:r>
      <w:bookmarkEnd w:id="9"/>
    </w:p>
    <w:p w14:paraId="04A63D4B" w14:textId="77777777" w:rsidR="00CE1AF6" w:rsidRDefault="00B4625A">
      <w:pPr>
        <w:pStyle w:val="Heading2"/>
        <w:spacing w:after="160" w:line="259" w:lineRule="auto"/>
        <w:ind w:firstLine="360"/>
      </w:pPr>
      <w:bookmarkStart w:id="10" w:name="_Toc195781909"/>
      <w:r>
        <w:t>Background</w:t>
      </w:r>
      <w:bookmarkEnd w:id="10"/>
    </w:p>
    <w:p w14:paraId="788A0F27" w14:textId="77777777" w:rsidR="00CE1AF6" w:rsidRDefault="00B4625A">
      <w:pPr>
        <w:spacing w:after="160" w:line="259" w:lineRule="auto"/>
        <w:ind w:firstLine="360"/>
      </w:pPr>
      <w:r>
        <w:t>Corporate taxation is a critical issue for the European Union, given its economic integration and the diverse fiscal policies of its member states. Taxation policies within the EU have long been a source of debate, particularly when it comes to addressing tax avoidance, ensuring fair competition, and maintaining the sovereignty of member states in setting their own fiscal rules. One of the most compelling reasons for instituting a corporate tax across the EU is to provide a more consistent and predictable revenue stream for the Union's budget. Currently, the EU relies heavily on contributions from Member States, which are based on their respective Gross National Income (GNI). However, this approach has limitations, especially as personal income taxes, one of the main sources of funding for governments, can vary widely across member states. Some countries may have lower rates of personal taxation or weaker tax bases, leading to reduced revenues that can affect their contributions to the EU’s budget.  The EU’s internal market enables corporations operating in EU Member States to realize higher profits.  Therefore, corporations should support the costs of EU policy making.</w:t>
      </w:r>
    </w:p>
    <w:p w14:paraId="6374521D" w14:textId="219F0537" w:rsidR="00CE1AF6" w:rsidRDefault="00B4625A">
      <w:pPr>
        <w:spacing w:after="160" w:line="259" w:lineRule="auto"/>
        <w:ind w:firstLine="360"/>
      </w:pPr>
      <w:r>
        <w:t>The EU is in need of funds to pay for initiatives such as the NextGenerationEU recover</w:t>
      </w:r>
      <w:r w:rsidR="0017107C">
        <w:t>y</w:t>
      </w:r>
      <w:r>
        <w:t xml:space="preserve"> fund and anticipated funds needed to establish an integrated European defence industry and EU defence system.  </w:t>
      </w:r>
    </w:p>
    <w:p w14:paraId="007F01A0" w14:textId="77777777" w:rsidR="00CE1AF6" w:rsidRDefault="00B4625A">
      <w:pPr>
        <w:pStyle w:val="Heading2"/>
        <w:spacing w:after="160" w:line="259" w:lineRule="auto"/>
        <w:ind w:firstLine="360"/>
      </w:pPr>
      <w:bookmarkStart w:id="11" w:name="_Toc195781910"/>
      <w:r>
        <w:t>Recommendations</w:t>
      </w:r>
      <w:bookmarkEnd w:id="11"/>
    </w:p>
    <w:p w14:paraId="236DF77F" w14:textId="32A095CB" w:rsidR="00CE1AF6" w:rsidRDefault="00B4625A">
      <w:pPr>
        <w:numPr>
          <w:ilvl w:val="0"/>
          <w:numId w:val="8"/>
        </w:numPr>
        <w:pBdr>
          <w:top w:val="nil"/>
          <w:left w:val="nil"/>
          <w:bottom w:val="nil"/>
          <w:right w:val="nil"/>
          <w:between w:val="nil"/>
        </w:pBdr>
        <w:spacing w:before="0" w:line="259" w:lineRule="auto"/>
        <w:rPr>
          <w:color w:val="000000"/>
        </w:rPr>
      </w:pPr>
      <w:r>
        <w:rPr>
          <w:color w:val="000000"/>
        </w:rPr>
        <w:t xml:space="preserve">Recommending the establishment of a Minimum Corporate Tax Rate with flexibility for </w:t>
      </w:r>
      <w:r>
        <w:t>M</w:t>
      </w:r>
      <w:r>
        <w:rPr>
          <w:color w:val="000000"/>
        </w:rPr>
        <w:t xml:space="preserve">ember </w:t>
      </w:r>
      <w:r>
        <w:t>S</w:t>
      </w:r>
      <w:r>
        <w:rPr>
          <w:color w:val="000000"/>
        </w:rPr>
        <w:t xml:space="preserve">tates. While a common minimum corporate tax rate is necessary to prevent harmful tax competition and curb tax avoidance, it is essential that the rate be flexible enough to account for the economic realities of </w:t>
      </w:r>
      <w:r>
        <w:t>the M</w:t>
      </w:r>
      <w:r>
        <w:rPr>
          <w:color w:val="000000"/>
        </w:rPr>
        <w:t xml:space="preserve">ember </w:t>
      </w:r>
      <w:r>
        <w:t>S</w:t>
      </w:r>
      <w:r>
        <w:rPr>
          <w:color w:val="000000"/>
        </w:rPr>
        <w:t xml:space="preserve">tates. A rate could be set at a level that addresses tax avoidance concerns (e.g., 15% as proposed by the OECD), but </w:t>
      </w:r>
      <w:r w:rsidR="006C4271">
        <w:rPr>
          <w:color w:val="000000"/>
        </w:rPr>
        <w:t>M</w:t>
      </w:r>
      <w:r>
        <w:rPr>
          <w:color w:val="000000"/>
        </w:rPr>
        <w:t xml:space="preserve">ember </w:t>
      </w:r>
      <w:r w:rsidR="006C4271">
        <w:rPr>
          <w:color w:val="000000"/>
        </w:rPr>
        <w:t>S</w:t>
      </w:r>
      <w:r>
        <w:rPr>
          <w:color w:val="000000"/>
        </w:rPr>
        <w:t>tates should retain the ability to apply tax incentives or credits aimed at encouraging specific investments or fostering innovation.</w:t>
      </w:r>
      <w:r w:rsidR="006C4271">
        <w:rPr>
          <w:color w:val="000000"/>
        </w:rPr>
        <w:br/>
      </w:r>
    </w:p>
    <w:p w14:paraId="4CBC8899" w14:textId="77777777" w:rsidR="00CE1AF6" w:rsidRDefault="00B4625A">
      <w:pPr>
        <w:numPr>
          <w:ilvl w:val="0"/>
          <w:numId w:val="8"/>
        </w:numPr>
        <w:pBdr>
          <w:top w:val="nil"/>
          <w:left w:val="nil"/>
          <w:bottom w:val="nil"/>
          <w:right w:val="nil"/>
          <w:between w:val="nil"/>
        </w:pBdr>
        <w:spacing w:before="0" w:after="160" w:line="259" w:lineRule="auto"/>
        <w:rPr>
          <w:color w:val="000000"/>
        </w:rPr>
      </w:pPr>
      <w:r>
        <w:rPr>
          <w:color w:val="000000"/>
        </w:rPr>
        <w:t>Enhance cooperation on taxation and transparency through strengthening cross-border cooperation among EU tax authorities to prevent tax avoidance and ensure greater transparency in corporate tax payments. The EU should support the creation of a central, publicly accessible EU-wide database that tracks the tax payments of large corporations across member states. Such transparency can help deter companies from engaging in aggressive tax avoidance practices and ensure a level playing field for smaller businesses.</w:t>
      </w:r>
    </w:p>
    <w:p w14:paraId="77D1232B" w14:textId="77777777" w:rsidR="00CE1AF6" w:rsidRDefault="00B4625A">
      <w:pPr>
        <w:numPr>
          <w:ilvl w:val="0"/>
          <w:numId w:val="8"/>
        </w:numPr>
        <w:pBdr>
          <w:top w:val="nil"/>
          <w:left w:val="nil"/>
          <w:bottom w:val="nil"/>
          <w:right w:val="nil"/>
          <w:between w:val="nil"/>
        </w:pBdr>
        <w:spacing w:before="0" w:after="160" w:line="259" w:lineRule="auto"/>
      </w:pPr>
      <w:r>
        <w:t>The European Commission is directed to write legislation for a Common Consolidated Corporate Tax Base (CCTB) to harmonize the corporate tax base across Member States.</w:t>
      </w:r>
    </w:p>
    <w:p w14:paraId="2D3F1904" w14:textId="77777777" w:rsidR="00CE1AF6" w:rsidRDefault="00B4625A">
      <w:pPr>
        <w:numPr>
          <w:ilvl w:val="0"/>
          <w:numId w:val="8"/>
        </w:numPr>
        <w:pBdr>
          <w:top w:val="nil"/>
          <w:left w:val="nil"/>
          <w:bottom w:val="nil"/>
          <w:right w:val="nil"/>
          <w:between w:val="nil"/>
        </w:pBdr>
        <w:spacing w:before="0" w:after="160" w:line="259" w:lineRule="auto"/>
      </w:pPr>
      <w:r>
        <w:lastRenderedPageBreak/>
        <w:t>The European Commission is directed to develop a White Paper laying out a proposal for incorporating a corporate-tax based own resources into the EU budget.  The Commission is particularly asked to consider how to establish a levy on large multinational corporations operating within the EU. The White Paper should address ways to collect corporate taxes that will not require changes to the Treaties.</w:t>
      </w:r>
    </w:p>
    <w:p w14:paraId="68AF739C" w14:textId="77777777" w:rsidR="00CE1AF6" w:rsidRDefault="00CE1AF6">
      <w:pPr>
        <w:pBdr>
          <w:top w:val="nil"/>
          <w:left w:val="nil"/>
          <w:bottom w:val="nil"/>
          <w:right w:val="nil"/>
          <w:between w:val="nil"/>
        </w:pBdr>
        <w:spacing w:before="0" w:after="160" w:line="259" w:lineRule="auto"/>
        <w:ind w:left="0"/>
      </w:pPr>
    </w:p>
    <w:p w14:paraId="2DF31A9D" w14:textId="77777777" w:rsidR="00CE1AF6" w:rsidRDefault="00CE1AF6">
      <w:pPr>
        <w:spacing w:after="160" w:line="259" w:lineRule="auto"/>
        <w:ind w:firstLine="360"/>
      </w:pPr>
    </w:p>
    <w:p w14:paraId="6250C4F0" w14:textId="77777777" w:rsidR="00CE1AF6" w:rsidRDefault="00B4625A">
      <w:pPr>
        <w:spacing w:after="160" w:line="259" w:lineRule="auto"/>
        <w:ind w:firstLine="360"/>
        <w:rPr>
          <w:sz w:val="36"/>
          <w:szCs w:val="36"/>
        </w:rPr>
      </w:pPr>
      <w:r>
        <w:br w:type="page"/>
      </w:r>
    </w:p>
    <w:p w14:paraId="4FA0051A" w14:textId="77777777" w:rsidR="00CE1AF6" w:rsidRDefault="00B4625A">
      <w:pPr>
        <w:pStyle w:val="Heading1"/>
        <w:ind w:firstLine="360"/>
      </w:pPr>
      <w:bookmarkStart w:id="12" w:name="_Toc195781911"/>
      <w:r>
        <w:lastRenderedPageBreak/>
        <w:t>European Defence and Security</w:t>
      </w:r>
      <w:bookmarkEnd w:id="12"/>
    </w:p>
    <w:p w14:paraId="48F08F16" w14:textId="77777777" w:rsidR="00CE1AF6" w:rsidRDefault="00B4625A">
      <w:pPr>
        <w:pStyle w:val="Heading2"/>
        <w:ind w:firstLine="360"/>
      </w:pPr>
      <w:bookmarkStart w:id="13" w:name="_Toc195781912"/>
      <w:r>
        <w:t>Background</w:t>
      </w:r>
      <w:bookmarkEnd w:id="13"/>
    </w:p>
    <w:p w14:paraId="665A5BDA" w14:textId="77777777" w:rsidR="00AC1547" w:rsidRDefault="00B4625A" w:rsidP="00AC1547">
      <w:pPr>
        <w:spacing w:before="140" w:after="280"/>
        <w:ind w:firstLine="360"/>
      </w:pPr>
      <w:r w:rsidRPr="00AC1547">
        <w:rPr>
          <w:rFonts w:eastAsia="Verdana" w:cs="Times New Roman"/>
        </w:rPr>
        <w:t>R</w:t>
      </w:r>
      <w:r w:rsidRPr="00AC1547">
        <w:rPr>
          <w:rFonts w:cs="Times New Roman"/>
        </w:rPr>
        <w:t xml:space="preserve">ecalling </w:t>
      </w:r>
      <w:r>
        <w:t xml:space="preserve">the Versailles Declaration of March 2022 and the Strategic Compass for Security and Defence, the European Council stresses that Europe must become more sovereign, more responsible for its own defence and better equipped to act and deal autonomously with immediate and future challenges and threats with a 360° approach. </w:t>
      </w:r>
    </w:p>
    <w:p w14:paraId="4FAE1443" w14:textId="62907FDE" w:rsidR="00CE1AF6" w:rsidRPr="00AC1547" w:rsidRDefault="00B4625A" w:rsidP="00AC1547">
      <w:pPr>
        <w:spacing w:before="140" w:after="280"/>
        <w:ind w:firstLine="360"/>
      </w:pPr>
      <w:r>
        <w:t xml:space="preserve">The European Council recalls that a stronger and more capable European Union in the field of security and defence will contribute positively to global and transatlantic security and is complementary to NATO, which remains, for those States that are members of it, the foundation of their collective defence.  Following up on its conclusions of 6 March and 20 March 2025 and in light of the White Paper </w:t>
      </w:r>
      <w:r>
        <w:rPr>
          <w:sz w:val="23"/>
          <w:szCs w:val="23"/>
        </w:rPr>
        <w:t xml:space="preserve">on the Future of European Defence of 19 March 2025, and the </w:t>
      </w:r>
      <w:hyperlink r:id="rId13">
        <w:r>
          <w:rPr>
            <w:color w:val="1155CC"/>
            <w:sz w:val="23"/>
            <w:szCs w:val="23"/>
            <w:u w:val="single"/>
          </w:rPr>
          <w:t>Bruegel paper</w:t>
        </w:r>
      </w:hyperlink>
      <w:r>
        <w:rPr>
          <w:sz w:val="23"/>
          <w:szCs w:val="23"/>
        </w:rPr>
        <w:t xml:space="preserve"> submitted </w:t>
      </w:r>
      <w:r w:rsidR="002575AE">
        <w:rPr>
          <w:sz w:val="23"/>
          <w:szCs w:val="23"/>
        </w:rPr>
        <w:t>t</w:t>
      </w:r>
      <w:r w:rsidR="00AE403F">
        <w:rPr>
          <w:sz w:val="23"/>
          <w:szCs w:val="23"/>
        </w:rPr>
        <w:t xml:space="preserve">o </w:t>
      </w:r>
      <w:r>
        <w:rPr>
          <w:sz w:val="23"/>
          <w:szCs w:val="23"/>
        </w:rPr>
        <w:t xml:space="preserve">the Polish Presidency, the European Council calls for an acceleration of work on all strands to decisively ramp up Europe’s defence readiness within the next three years.  </w:t>
      </w:r>
    </w:p>
    <w:p w14:paraId="644C1CF0" w14:textId="24F7CC37" w:rsidR="00CE1AF6" w:rsidRDefault="00B4625A">
      <w:pPr>
        <w:spacing w:before="140" w:after="280"/>
        <w:ind w:firstLine="360"/>
      </w:pPr>
      <w:r>
        <w:t xml:space="preserve">In this context, the </w:t>
      </w:r>
      <w:r w:rsidR="00C46973">
        <w:t>EU</w:t>
      </w:r>
      <w:r>
        <w:t xml:space="preserve"> will accelerate the mobilisation of the necessary instruments and financing </w:t>
      </w:r>
      <w:r w:rsidR="00AE403F">
        <w:t>to</w:t>
      </w:r>
      <w:r>
        <w:t xml:space="preserve"> bolster the security of the Union and the protection of our citizens. In doing so, the Union will reinforce its overall defence readiness, reduce its strategic dependencies, address its critical capability gaps and strengthen the European defence technological and industrial base accordingly across the Union so that it is </w:t>
      </w:r>
      <w:r w:rsidR="00AE403F">
        <w:t>able</w:t>
      </w:r>
      <w:r>
        <w:t xml:space="preserve"> to better supply equipment in the quantities and at the accelerated pace needed. This will also contribute to boosting European industrial and technological competitiveness.</w:t>
      </w:r>
    </w:p>
    <w:p w14:paraId="56FF11C8" w14:textId="1B138422" w:rsidR="00CE1AF6" w:rsidRDefault="00B4625A">
      <w:pPr>
        <w:spacing w:before="140" w:after="280"/>
        <w:ind w:firstLine="360"/>
      </w:pPr>
      <w:r>
        <w:t xml:space="preserve">Building on its previous conclusions and in line with the respective competences conferred by the </w:t>
      </w:r>
      <w:r w:rsidR="002575AE">
        <w:t>Treaties and</w:t>
      </w:r>
      <w:r>
        <w:t xml:space="preserve"> </w:t>
      </w:r>
      <w:r w:rsidR="00190589">
        <w:t>considering</w:t>
      </w:r>
      <w:r>
        <w:t xml:space="preserve"> the recent letter by the President of the Commission, the European Council stresses the need to continue to substantially increase expenditure on Europe’s security and defence.  </w:t>
      </w:r>
    </w:p>
    <w:p w14:paraId="125A0365" w14:textId="77777777" w:rsidR="00CE1AF6" w:rsidRDefault="00B4625A">
      <w:pPr>
        <w:spacing w:before="140" w:after="280"/>
        <w:ind w:firstLine="360"/>
      </w:pPr>
      <w:r>
        <w:t xml:space="preserve">The Union must not abandon the European Social Model to which we have been committed since we built a democratic and equitable Europe for our citizens.  Nor can we allow short-sighted measures such as budget balancing to jeopardise European security.  So, too, the internal market has enabled large multinational corporations to reap enormous profits.  It is time for these corporations to pay their fair share to ensure the continuation of the European way of life. </w:t>
      </w:r>
    </w:p>
    <w:p w14:paraId="2240F616" w14:textId="77777777" w:rsidR="00CE1AF6" w:rsidRDefault="00B4625A">
      <w:pPr>
        <w:pStyle w:val="Heading2"/>
        <w:spacing w:after="160" w:line="259" w:lineRule="auto"/>
        <w:ind w:firstLine="360"/>
      </w:pPr>
      <w:bookmarkStart w:id="14" w:name="_Toc195781913"/>
      <w:r>
        <w:lastRenderedPageBreak/>
        <w:t>Recommendations</w:t>
      </w:r>
      <w:bookmarkEnd w:id="14"/>
    </w:p>
    <w:p w14:paraId="312D6CE8" w14:textId="77777777" w:rsidR="00CE1AF6" w:rsidRDefault="00B4625A" w:rsidP="00CE273D">
      <w:pPr>
        <w:spacing w:after="160" w:line="259" w:lineRule="auto"/>
      </w:pPr>
      <w:r>
        <w:t>1. The European Council invites the Council and the co-legislators to swiftly take work forward on the recent Commission proposal ReArm Europe Plan/Readiness 2030 plan to finance EU defence with the aim of building a single market for defence and security in the SAFE Regulation.  Specifically in the area of finance:</w:t>
      </w:r>
    </w:p>
    <w:p w14:paraId="36B7BBA0" w14:textId="77777777" w:rsidR="00CE1AF6" w:rsidRDefault="00B4625A">
      <w:pPr>
        <w:numPr>
          <w:ilvl w:val="0"/>
          <w:numId w:val="11"/>
        </w:numPr>
        <w:spacing w:line="259" w:lineRule="auto"/>
      </w:pPr>
      <w:r>
        <w:t xml:space="preserve">Activate the national escape clause of the Stability and Growth Pact (SGP) to allow Member States to increase defence spending by 2.5% GDP.  </w:t>
      </w:r>
    </w:p>
    <w:p w14:paraId="41A5BD92" w14:textId="77777777" w:rsidR="00CE1AF6" w:rsidRDefault="00B4625A">
      <w:pPr>
        <w:numPr>
          <w:ilvl w:val="0"/>
          <w:numId w:val="11"/>
        </w:numPr>
        <w:spacing w:before="0" w:line="259" w:lineRule="auto"/>
      </w:pPr>
      <w:r>
        <w:t>Permit Cohesion Funds to be used for defence projects.</w:t>
      </w:r>
    </w:p>
    <w:p w14:paraId="0E6658B8" w14:textId="77777777" w:rsidR="00CE1AF6" w:rsidRDefault="00B4625A">
      <w:pPr>
        <w:numPr>
          <w:ilvl w:val="0"/>
          <w:numId w:val="11"/>
        </w:numPr>
        <w:spacing w:before="0" w:line="259" w:lineRule="auto"/>
      </w:pPr>
      <w:r>
        <w:t>Launch an EU corporate income tax that will be used to fund joint defence development projects within the European Defence Agency (EDA).</w:t>
      </w:r>
    </w:p>
    <w:p w14:paraId="076633AF" w14:textId="77777777" w:rsidR="00CE1AF6" w:rsidRDefault="00B4625A">
      <w:pPr>
        <w:numPr>
          <w:ilvl w:val="1"/>
          <w:numId w:val="11"/>
        </w:numPr>
        <w:spacing w:before="0" w:line="259" w:lineRule="auto"/>
      </w:pPr>
      <w:r>
        <w:t xml:space="preserve">A minimum of four EU Member States must participate in a project to be eligible for funding. Participation shall include R&amp;D, testing, and production.  </w:t>
      </w:r>
    </w:p>
    <w:p w14:paraId="76D973D2" w14:textId="00029CE2" w:rsidR="00CE1AF6" w:rsidRDefault="00B4625A" w:rsidP="00CE273D">
      <w:pPr>
        <w:numPr>
          <w:ilvl w:val="0"/>
          <w:numId w:val="11"/>
        </w:numPr>
        <w:spacing w:before="0" w:line="259" w:lineRule="auto"/>
      </w:pPr>
      <w:r>
        <w:t>Launch a EUR 300 billion loan instrument–Security Action for Europe (SAFE) or “defence bonds”</w:t>
      </w:r>
      <w:r w:rsidR="00CE273D">
        <w:t>—</w:t>
      </w:r>
      <w:r>
        <w:t xml:space="preserve">that will help </w:t>
      </w:r>
      <w:r w:rsidR="00CE273D">
        <w:t>Member State</w:t>
      </w:r>
      <w:r>
        <w:t>s invest in key defence areas such as missile defence, drones and cybersecurity.  Funds will be raised on capital markets, collateralized by the EU’s budget.</w:t>
      </w:r>
    </w:p>
    <w:p w14:paraId="0F3D48C9" w14:textId="77777777" w:rsidR="00CE1AF6" w:rsidRDefault="00B4625A">
      <w:pPr>
        <w:numPr>
          <w:ilvl w:val="1"/>
          <w:numId w:val="11"/>
        </w:numPr>
        <w:spacing w:before="0" w:line="259" w:lineRule="auto"/>
      </w:pPr>
      <w:r>
        <w:t>Member States will submit national defence plans to the European Commission to be eligible for funding.</w:t>
      </w:r>
    </w:p>
    <w:p w14:paraId="3D1E067C" w14:textId="77777777" w:rsidR="00CE1AF6" w:rsidRDefault="00B4625A">
      <w:pPr>
        <w:numPr>
          <w:ilvl w:val="0"/>
          <w:numId w:val="11"/>
        </w:numPr>
        <w:spacing w:before="0" w:line="259" w:lineRule="auto"/>
      </w:pPr>
      <w:r>
        <w:t xml:space="preserve">The European Investment Bank (EIB) must expand its eligible projects to include lending for defence and security projects.   </w:t>
      </w:r>
    </w:p>
    <w:p w14:paraId="43EB971E" w14:textId="77777777" w:rsidR="00CE1AF6" w:rsidRDefault="00B4625A">
      <w:pPr>
        <w:numPr>
          <w:ilvl w:val="0"/>
          <w:numId w:val="11"/>
        </w:numPr>
        <w:spacing w:before="0" w:after="160" w:line="259" w:lineRule="auto"/>
      </w:pPr>
      <w:r>
        <w:t xml:space="preserve">The European Council invites the European Commission to devise its own resources from multinational corporations.  </w:t>
      </w:r>
    </w:p>
    <w:p w14:paraId="40112C18" w14:textId="1556CBF9" w:rsidR="00CE1AF6" w:rsidRDefault="00B4625A" w:rsidP="00B300E5">
      <w:pPr>
        <w:spacing w:after="160" w:line="259" w:lineRule="auto"/>
      </w:pPr>
      <w:r>
        <w:t>2.  The Council affirms the White Paper’s identification of seven priority areas</w:t>
      </w:r>
      <w:r w:rsidR="00B300E5">
        <w:t>—</w:t>
      </w:r>
      <w:r>
        <w:t>Category One</w:t>
      </w:r>
      <w:r w:rsidR="00B300E5">
        <w:t>—</w:t>
      </w:r>
      <w:r>
        <w:t>ammunition and missiles, artillery systems, small drones and counter-drone systems, critical infrastructure protections, cyber and military mobility.</w:t>
      </w:r>
    </w:p>
    <w:p w14:paraId="6DD57885" w14:textId="733FDC48" w:rsidR="00CE1AF6" w:rsidRDefault="00B4625A" w:rsidP="00B300E5">
      <w:pPr>
        <w:spacing w:after="160" w:line="259" w:lineRule="auto"/>
        <w:ind w:firstLine="360"/>
      </w:pPr>
      <w:r>
        <w:t>Category Two</w:t>
      </w:r>
      <w:r w:rsidR="00B300E5">
        <w:t>—</w:t>
      </w:r>
      <w:r>
        <w:t>air and missile defence, drones (other than small ones) and related anti-drone systems, strategic enablers, space assets protection, AI and electronic warfare.</w:t>
      </w:r>
    </w:p>
    <w:p w14:paraId="317D846C" w14:textId="7CFDF0D9" w:rsidR="00CE1AF6" w:rsidRDefault="00B4625A" w:rsidP="00B300E5">
      <w:pPr>
        <w:spacing w:after="160" w:line="259" w:lineRule="auto"/>
        <w:ind w:firstLine="360"/>
      </w:pPr>
      <w:r>
        <w:t>Category Three</w:t>
      </w:r>
      <w:r w:rsidR="00B300E5">
        <w:t>—</w:t>
      </w:r>
      <w:r>
        <w:t>developing nuclear capability on the EU level.</w:t>
      </w:r>
    </w:p>
    <w:p w14:paraId="374DF1AF" w14:textId="77777777" w:rsidR="00CE1AF6" w:rsidRDefault="00B4625A" w:rsidP="00B300E5">
      <w:pPr>
        <w:spacing w:after="160" w:line="259" w:lineRule="auto"/>
      </w:pPr>
      <w:r>
        <w:t>3.  Procurement practices should focus on European design and production.  Therefore, the SAFE Regulation must include a clause requiring European content as follows:</w:t>
      </w:r>
    </w:p>
    <w:p w14:paraId="443DA73B" w14:textId="77777777" w:rsidR="00CE1AF6" w:rsidRDefault="00B4625A">
      <w:pPr>
        <w:numPr>
          <w:ilvl w:val="0"/>
          <w:numId w:val="12"/>
        </w:numPr>
        <w:spacing w:line="259" w:lineRule="auto"/>
      </w:pPr>
      <w:r>
        <w:t xml:space="preserve"> at least 65% of the costs of the product must originate within the Union for the first ten years of the project within the Union, Ukraine, EEA/EFTA, the UK, and candidate states.</w:t>
      </w:r>
    </w:p>
    <w:p w14:paraId="0C45686A" w14:textId="3A059F52" w:rsidR="00CE1AF6" w:rsidRDefault="00B4625A">
      <w:pPr>
        <w:numPr>
          <w:ilvl w:val="0"/>
          <w:numId w:val="12"/>
        </w:numPr>
        <w:spacing w:before="0" w:after="160" w:line="259" w:lineRule="auto"/>
      </w:pPr>
      <w:r>
        <w:t xml:space="preserve">By the </w:t>
      </w:r>
      <w:r w:rsidR="00B300E5">
        <w:t>eleventh year</w:t>
      </w:r>
      <w:r>
        <w:t>, at least 75% of the costs of the product must originate within the Union, Ukraine,</w:t>
      </w:r>
      <w:r w:rsidR="00B300E5">
        <w:t xml:space="preserve"> </w:t>
      </w:r>
      <w:r>
        <w:t>EEA/EFTA, the UK and candidate states.</w:t>
      </w:r>
    </w:p>
    <w:p w14:paraId="5DC36626" w14:textId="2927A20D" w:rsidR="00CE1AF6" w:rsidRDefault="00B4625A" w:rsidP="004A4804">
      <w:pPr>
        <w:spacing w:after="160" w:line="259" w:lineRule="auto"/>
      </w:pPr>
      <w:r>
        <w:lastRenderedPageBreak/>
        <w:t>3.  The European Council is concerned that existing mechanisms</w:t>
      </w:r>
      <w:r w:rsidR="004A4804">
        <w:t>—</w:t>
      </w:r>
      <w:r>
        <w:t xml:space="preserve">NATO, the Coordinated Annual Review on Defence </w:t>
      </w:r>
      <w:r w:rsidR="004A4804">
        <w:t>(</w:t>
      </w:r>
      <w:r>
        <w:t>CARD</w:t>
      </w:r>
      <w:r w:rsidR="004A4804">
        <w:t>)</w:t>
      </w:r>
      <w:r>
        <w:t>, the Capability Development Plan (CDP) and the EDA</w:t>
      </w:r>
      <w:r w:rsidR="004A4804">
        <w:t>—</w:t>
      </w:r>
      <w:r>
        <w:t xml:space="preserve">were not established for this task. The European Council, therefore, directs the European Commission to arrange for high-level talks among all European democracies to develop a supranational, extra-EU agreement called the </w:t>
      </w:r>
      <w:r>
        <w:rPr>
          <w:b/>
        </w:rPr>
        <w:t>European Defence Mechanism (EDM)</w:t>
      </w:r>
      <w:r>
        <w:t xml:space="preserve"> with a mandate to share European defence strategic enablers and establish a single market for European defence. The EDM would replace the European Defence Fund (EDF). The EDM should be structured as follows: </w:t>
      </w:r>
    </w:p>
    <w:p w14:paraId="2C32B020" w14:textId="2C08ACCC" w:rsidR="00CE1AF6" w:rsidRDefault="00B4625A">
      <w:pPr>
        <w:numPr>
          <w:ilvl w:val="0"/>
          <w:numId w:val="7"/>
        </w:numPr>
        <w:spacing w:line="259" w:lineRule="auto"/>
      </w:pPr>
      <w:r>
        <w:t xml:space="preserve"> Membership - all EU Member States any other European democracy that </w:t>
      </w:r>
      <w:r w:rsidR="00CC5E0B">
        <w:t xml:space="preserve">wishes </w:t>
      </w:r>
      <w:r w:rsidR="00CC5E0B">
        <w:br/>
        <w:t xml:space="preserve"> to</w:t>
      </w:r>
      <w:r>
        <w:t xml:space="preserve"> join.</w:t>
      </w:r>
    </w:p>
    <w:p w14:paraId="2F9B79D1" w14:textId="35151B75" w:rsidR="00CE1AF6" w:rsidRDefault="00B4625A">
      <w:pPr>
        <w:numPr>
          <w:ilvl w:val="0"/>
          <w:numId w:val="7"/>
        </w:numPr>
        <w:spacing w:before="0" w:line="259" w:lineRule="auto"/>
      </w:pPr>
      <w:r>
        <w:t xml:space="preserve">The EU will be a separate shareholder, represented by the European </w:t>
      </w:r>
      <w:r w:rsidR="00CC5E0B">
        <w:t>Commission.</w:t>
      </w:r>
    </w:p>
    <w:p w14:paraId="7A9D179F" w14:textId="77777777" w:rsidR="00CE1AF6" w:rsidRDefault="00B4625A">
      <w:pPr>
        <w:numPr>
          <w:ilvl w:val="0"/>
          <w:numId w:val="7"/>
        </w:numPr>
        <w:spacing w:before="0" w:line="259" w:lineRule="auto"/>
      </w:pPr>
      <w:r>
        <w:t>Membership will involve paid-in capital and callable capital based on economic size.</w:t>
      </w:r>
    </w:p>
    <w:p w14:paraId="77A020A6" w14:textId="77777777" w:rsidR="00CE1AF6" w:rsidRDefault="00B4625A">
      <w:pPr>
        <w:numPr>
          <w:ilvl w:val="0"/>
          <w:numId w:val="7"/>
        </w:numPr>
        <w:spacing w:before="0" w:after="160" w:line="259" w:lineRule="auto"/>
      </w:pPr>
      <w:r>
        <w:t>Decisions would be taken based on subscription share-weighted</w:t>
      </w:r>
    </w:p>
    <w:p w14:paraId="5511841A" w14:textId="77777777" w:rsidR="00CE1AF6" w:rsidRDefault="00B4625A" w:rsidP="00CC5E0B">
      <w:pPr>
        <w:spacing w:after="160" w:line="259" w:lineRule="auto"/>
      </w:pPr>
      <w:r>
        <w:t>4.  Defence readiness cannot avoid the question of integration of armed forces from the Member States to strengthen Europe’s collective defence.  Building on Article 42.7 of the TEU, the European Council invites the Council of the European Union composed of the Member State defence ministers to put forward a plan to move to the next level envisaged when Permanent Structured Cooperation (PESCO) of the Common Security and Defence Policy (CSDP) was launched in 2017.  This next level should be a European Defence Force (EDF) to defend the EU’s territorial integrity.</w:t>
      </w:r>
    </w:p>
    <w:p w14:paraId="1C05C6C5" w14:textId="77777777" w:rsidR="00CE1AF6" w:rsidRDefault="00B4625A">
      <w:pPr>
        <w:numPr>
          <w:ilvl w:val="0"/>
          <w:numId w:val="3"/>
        </w:numPr>
        <w:spacing w:line="259" w:lineRule="auto"/>
      </w:pPr>
      <w:r>
        <w:t>An inventory of European defences in the 27 Member States and the UK.</w:t>
      </w:r>
    </w:p>
    <w:p w14:paraId="24A72792" w14:textId="77777777" w:rsidR="00CE1AF6" w:rsidRDefault="00B4625A">
      <w:pPr>
        <w:numPr>
          <w:ilvl w:val="0"/>
          <w:numId w:val="3"/>
        </w:numPr>
        <w:spacing w:before="0" w:line="259" w:lineRule="auto"/>
      </w:pPr>
      <w:r>
        <w:t>Recommendation for a unified command structure and reporting structure to the European Council.</w:t>
      </w:r>
    </w:p>
    <w:p w14:paraId="3BA5C1C3" w14:textId="77777777" w:rsidR="00CE1AF6" w:rsidRDefault="00B4625A">
      <w:pPr>
        <w:numPr>
          <w:ilvl w:val="0"/>
          <w:numId w:val="3"/>
        </w:numPr>
        <w:spacing w:before="0" w:line="259" w:lineRule="auto"/>
      </w:pPr>
      <w:r>
        <w:t xml:space="preserve">Recommendation for the siting of European bases in strategic areas for defence of European democracies.  </w:t>
      </w:r>
    </w:p>
    <w:p w14:paraId="610738BE" w14:textId="77777777" w:rsidR="00CE1AF6" w:rsidRDefault="00B4625A">
      <w:pPr>
        <w:numPr>
          <w:ilvl w:val="0"/>
          <w:numId w:val="3"/>
        </w:numPr>
        <w:spacing w:before="0" w:line="259" w:lineRule="auto"/>
      </w:pPr>
      <w:r>
        <w:t>Transform EU (rotating) battlegroups to a standing EU force.  The proposal should include mechanisms for:</w:t>
      </w:r>
    </w:p>
    <w:p w14:paraId="6D18C83B" w14:textId="77777777" w:rsidR="00CE1AF6" w:rsidRDefault="00B4625A">
      <w:pPr>
        <w:numPr>
          <w:ilvl w:val="1"/>
          <w:numId w:val="3"/>
        </w:numPr>
        <w:spacing w:before="0" w:line="259" w:lineRule="auto"/>
      </w:pPr>
      <w:r>
        <w:t>Officer recruitment, using the same mechanism as recruitment for the European External Action Service.</w:t>
      </w:r>
    </w:p>
    <w:p w14:paraId="6AC67F42" w14:textId="77777777" w:rsidR="00CE1AF6" w:rsidRDefault="00B4625A">
      <w:pPr>
        <w:numPr>
          <w:ilvl w:val="1"/>
          <w:numId w:val="3"/>
        </w:numPr>
        <w:spacing w:before="0" w:line="259" w:lineRule="auto"/>
      </w:pPr>
      <w:r>
        <w:t>Soldier recruitment from throughout EU Member States.</w:t>
      </w:r>
    </w:p>
    <w:p w14:paraId="5C0D02AF" w14:textId="77777777" w:rsidR="00CE1AF6" w:rsidRDefault="00B4625A">
      <w:pPr>
        <w:numPr>
          <w:ilvl w:val="1"/>
          <w:numId w:val="3"/>
        </w:numPr>
        <w:spacing w:before="0" w:line="259" w:lineRule="auto"/>
      </w:pPr>
      <w:r>
        <w:t>Development of European military doctrine.</w:t>
      </w:r>
    </w:p>
    <w:p w14:paraId="7A2CC937" w14:textId="77777777" w:rsidR="00CE1AF6" w:rsidRDefault="00B4625A">
      <w:pPr>
        <w:numPr>
          <w:ilvl w:val="1"/>
          <w:numId w:val="3"/>
        </w:numPr>
        <w:spacing w:before="0" w:line="259" w:lineRule="auto"/>
      </w:pPr>
      <w:r>
        <w:t>Consider ways in which EU’s smaller Member States could fold their forces into the EU military to reduce coordination challenges.</w:t>
      </w:r>
    </w:p>
    <w:p w14:paraId="2330346D" w14:textId="77777777" w:rsidR="00CE1AF6" w:rsidRDefault="00B4625A">
      <w:pPr>
        <w:numPr>
          <w:ilvl w:val="1"/>
          <w:numId w:val="3"/>
        </w:numPr>
        <w:spacing w:before="0" w:line="259" w:lineRule="auto"/>
      </w:pPr>
      <w:r>
        <w:t>Funding mechanism for an EU standing force.</w:t>
      </w:r>
    </w:p>
    <w:p w14:paraId="0B57ED60" w14:textId="77777777" w:rsidR="00CE1AF6" w:rsidRDefault="00B4625A">
      <w:pPr>
        <w:numPr>
          <w:ilvl w:val="1"/>
          <w:numId w:val="3"/>
        </w:numPr>
        <w:spacing w:before="0" w:after="160" w:line="259" w:lineRule="auto"/>
      </w:pPr>
      <w:r>
        <w:t>Opt-out for neutral Member States, but with a solidarity funding mechanism.</w:t>
      </w:r>
    </w:p>
    <w:p w14:paraId="473A430F" w14:textId="77777777" w:rsidR="00CE1AF6" w:rsidRDefault="00B4625A">
      <w:r>
        <w:t xml:space="preserve"> </w:t>
      </w:r>
    </w:p>
    <w:p w14:paraId="212B5F5B" w14:textId="77777777" w:rsidR="00CE1AF6" w:rsidRDefault="00CE1AF6"/>
    <w:p w14:paraId="17F5F5C9" w14:textId="77777777" w:rsidR="00CE1AF6" w:rsidRDefault="00B4625A">
      <w:pPr>
        <w:pStyle w:val="Heading1"/>
        <w:ind w:firstLine="360"/>
      </w:pPr>
      <w:bookmarkStart w:id="15" w:name="_Toc195781914"/>
      <w:r>
        <w:lastRenderedPageBreak/>
        <w:t>Irregular Nationals on EU Territory</w:t>
      </w:r>
      <w:bookmarkEnd w:id="15"/>
    </w:p>
    <w:p w14:paraId="27B82B3B" w14:textId="660D41D0" w:rsidR="005063B2" w:rsidRDefault="00B4625A" w:rsidP="005063B2">
      <w:pPr>
        <w:pStyle w:val="Heading1"/>
      </w:pPr>
      <w:bookmarkStart w:id="16" w:name="_Toc195781915"/>
      <w:r>
        <w:t>Background</w:t>
      </w:r>
      <w:bookmarkEnd w:id="16"/>
      <w:r w:rsidR="005063B2">
        <w:t xml:space="preserve"> </w:t>
      </w:r>
    </w:p>
    <w:p w14:paraId="733A9FB7" w14:textId="18CA707B" w:rsidR="00CE1AF6" w:rsidRDefault="00B4625A">
      <w:r>
        <w:t xml:space="preserve">The issue of security and border control has been a key concern in the EU for many years. </w:t>
      </w:r>
      <w:r w:rsidR="005B6E27">
        <w:t xml:space="preserve">It is </w:t>
      </w:r>
      <w:r>
        <w:t xml:space="preserve">always a complex challenge in managing </w:t>
      </w:r>
      <w:r w:rsidR="005B6E27">
        <w:t xml:space="preserve">the Union’s </w:t>
      </w:r>
      <w:r>
        <w:t xml:space="preserve">external borders, balancing migration management, terrorism prevention, and the protection of its internal security. The </w:t>
      </w:r>
      <w:r w:rsidR="005B6E27">
        <w:t>Union</w:t>
      </w:r>
      <w:r>
        <w:t xml:space="preserve"> has seen significant influxes of migrants and refugees, particularly during the 2015-2016 migration crisis. While migration brings opportunities for labour and cultural diversity, it also raises concerns about irregular immigration, human trafficking, and the strain on public services in receiving countries. The EU has experienced several terrorist attacks in recent years, linked to extremist ideologies and groups. These events have underscored the need for better intelligence sharing, improved security infrastructure, and stronger coordination between member states to combat terrorism and violent extremism.</w:t>
      </w:r>
    </w:p>
    <w:p w14:paraId="2B0E30A9" w14:textId="1DFE6680" w:rsidR="00CE1AF6" w:rsidRDefault="00B4625A">
      <w:pPr>
        <w:spacing w:after="240"/>
        <w:ind w:firstLine="360"/>
      </w:pPr>
      <w:r>
        <w:t xml:space="preserve">After many years of negotiation, the EU agreed in 2024 to the Migration and Asylum Pact (comes into effect in 2026), a comprehensive revision of the Union’s approach to asylum and irregular migration.  </w:t>
      </w:r>
      <w:r w:rsidR="00EF09B2">
        <w:t xml:space="preserve">Nevertheless, more work needs to be done to complete to revised the Union’s </w:t>
      </w:r>
      <w:r w:rsidR="00796D61">
        <w:t xml:space="preserve">Common European Asylum System (CEAS) by establishing a strong returns component.   </w:t>
      </w:r>
      <w:r>
        <w:t xml:space="preserve"> Return rates across the EU is a </w:t>
      </w:r>
      <w:r w:rsidR="00190589">
        <w:t>meagre</w:t>
      </w:r>
      <w:r>
        <w:t xml:space="preserve"> 20 percent.  Some of the terrorist acts by irregular migrants have been committed by individuals EU Member States have attempted to return to their </w:t>
      </w:r>
      <w:r w:rsidR="00420FA0">
        <w:t>countries of origin</w:t>
      </w:r>
      <w:r>
        <w:t>.  Many countries of origin have not cooperated with the EU in accepting their citizens, in effect weaponizing migration.  The European Council urges the co-legislators to undertake swift negotiations on the Commission's proposed Return Regulation.</w:t>
      </w:r>
    </w:p>
    <w:p w14:paraId="5A6D7C90" w14:textId="77777777" w:rsidR="00CE1AF6" w:rsidRDefault="00B4625A">
      <w:pPr>
        <w:pStyle w:val="Heading2"/>
        <w:ind w:firstLine="360"/>
      </w:pPr>
      <w:bookmarkStart w:id="17" w:name="_Toc195781916"/>
      <w:r>
        <w:t>Recommendations for Returns Regulation</w:t>
      </w:r>
      <w:bookmarkEnd w:id="17"/>
    </w:p>
    <w:p w14:paraId="355090DB" w14:textId="77777777" w:rsidR="00CE1AF6" w:rsidRDefault="00B4625A">
      <w:r>
        <w:t xml:space="preserve"> </w:t>
      </w:r>
    </w:p>
    <w:p w14:paraId="6ED1F4A7" w14:textId="6FF2209A" w:rsidR="00CE1AF6" w:rsidRDefault="00931BEF">
      <w:pPr>
        <w:numPr>
          <w:ilvl w:val="0"/>
          <w:numId w:val="5"/>
        </w:numPr>
      </w:pPr>
      <w:r>
        <w:t>The European Council d</w:t>
      </w:r>
      <w:r w:rsidR="00B4625A">
        <w:t xml:space="preserve">irects the European Commission to establish an EU-wide list of “Safe countries.”  The General Affairs Council will update this list on an annual basis. If an asylum seeker is a citizen of a safe country they must be immediately returned. </w:t>
      </w:r>
      <w:r w:rsidR="00B4625A">
        <w:br/>
      </w:r>
    </w:p>
    <w:p w14:paraId="07A3955F" w14:textId="77777777" w:rsidR="00CE1AF6" w:rsidRDefault="00B4625A">
      <w:pPr>
        <w:numPr>
          <w:ilvl w:val="0"/>
          <w:numId w:val="5"/>
        </w:numPr>
        <w:spacing w:before="0" w:line="279" w:lineRule="auto"/>
      </w:pPr>
      <w:r>
        <w:t>The co-legislators are reminded that the European Council has agreed the Returns Regulation should include mandatory forced return for persons posing a security risk.</w:t>
      </w:r>
      <w:r>
        <w:br/>
      </w:r>
    </w:p>
    <w:p w14:paraId="29A603CD" w14:textId="52CB3803" w:rsidR="00CE1AF6" w:rsidRDefault="00B4625A">
      <w:pPr>
        <w:numPr>
          <w:ilvl w:val="0"/>
          <w:numId w:val="5"/>
        </w:numPr>
        <w:spacing w:before="0" w:line="279" w:lineRule="auto"/>
      </w:pPr>
      <w:r>
        <w:t xml:space="preserve">The Returns Regulation should change the language in EU documents from “irregular” to “illegal” migrant to recognise the illegality of queue-jumping </w:t>
      </w:r>
      <w:r w:rsidR="00BA7F7C">
        <w:t xml:space="preserve">by </w:t>
      </w:r>
      <w:r>
        <w:t>would-be asylum seekers.</w:t>
      </w:r>
      <w:r>
        <w:br/>
      </w:r>
    </w:p>
    <w:p w14:paraId="60ECA257" w14:textId="77777777" w:rsidR="00CE1AF6" w:rsidRDefault="00B4625A">
      <w:pPr>
        <w:numPr>
          <w:ilvl w:val="0"/>
          <w:numId w:val="5"/>
        </w:numPr>
        <w:spacing w:before="0" w:line="279" w:lineRule="auto"/>
      </w:pPr>
      <w:r>
        <w:lastRenderedPageBreak/>
        <w:t>The Returns Regulation should provide for the establishment of return hubs outside of the Union to return irregular migrants whom the country of origin refuses to accept.  These can be negotiated by a Member State or by the Union.</w:t>
      </w:r>
      <w:r>
        <w:br/>
      </w:r>
    </w:p>
    <w:p w14:paraId="711CDFC2" w14:textId="77777777" w:rsidR="00CE1AF6" w:rsidRDefault="00B4625A">
      <w:pPr>
        <w:numPr>
          <w:ilvl w:val="0"/>
          <w:numId w:val="5"/>
        </w:numPr>
        <w:spacing w:before="0" w:line="279" w:lineRule="auto"/>
      </w:pPr>
      <w:r>
        <w:t>The Returns Regulation should permit Member States to enforce an obligation to cooperate with authorities.  If irregular migrants refuse to cooperate with authorities, the consequences can be:</w:t>
      </w:r>
    </w:p>
    <w:p w14:paraId="7BC114DA" w14:textId="77777777" w:rsidR="00CE1AF6" w:rsidRDefault="00B4625A">
      <w:pPr>
        <w:numPr>
          <w:ilvl w:val="1"/>
          <w:numId w:val="5"/>
        </w:numPr>
        <w:spacing w:before="0" w:line="279" w:lineRule="auto"/>
      </w:pPr>
      <w:r>
        <w:t>reduction or refusal of benefits and allowances</w:t>
      </w:r>
    </w:p>
    <w:p w14:paraId="3949E74E" w14:textId="77777777" w:rsidR="00CE1AF6" w:rsidRDefault="00B4625A">
      <w:pPr>
        <w:numPr>
          <w:ilvl w:val="1"/>
          <w:numId w:val="5"/>
        </w:numPr>
        <w:spacing w:before="0" w:line="279" w:lineRule="auto"/>
      </w:pPr>
      <w:r>
        <w:t>seizure of identity documents</w:t>
      </w:r>
    </w:p>
    <w:p w14:paraId="633B7BC4" w14:textId="77777777" w:rsidR="00CE1AF6" w:rsidRDefault="00B4625A">
      <w:pPr>
        <w:numPr>
          <w:ilvl w:val="1"/>
          <w:numId w:val="5"/>
        </w:numPr>
        <w:spacing w:before="0" w:line="279" w:lineRule="auto"/>
      </w:pPr>
      <w:r>
        <w:t>longer entry bans</w:t>
      </w:r>
      <w:r>
        <w:br/>
      </w:r>
    </w:p>
    <w:p w14:paraId="7C0805A3" w14:textId="77777777" w:rsidR="00CE1AF6" w:rsidRDefault="00B4625A">
      <w:pPr>
        <w:numPr>
          <w:ilvl w:val="0"/>
          <w:numId w:val="5"/>
        </w:numPr>
        <w:spacing w:before="0" w:line="279" w:lineRule="auto"/>
      </w:pPr>
      <w:r>
        <w:t>The European Council endorses the monitoring of irregular migrants:</w:t>
      </w:r>
    </w:p>
    <w:p w14:paraId="5ACD2C95" w14:textId="77777777" w:rsidR="00CE1AF6" w:rsidRDefault="00B4625A">
      <w:pPr>
        <w:numPr>
          <w:ilvl w:val="1"/>
          <w:numId w:val="5"/>
        </w:numPr>
        <w:spacing w:before="0" w:line="279" w:lineRule="auto"/>
      </w:pPr>
      <w:r>
        <w:t>Regularly report to authorities with a frequency of up to 3 days.</w:t>
      </w:r>
    </w:p>
    <w:p w14:paraId="0C343F67" w14:textId="77777777" w:rsidR="00CE1AF6" w:rsidRDefault="00B4625A">
      <w:pPr>
        <w:numPr>
          <w:ilvl w:val="1"/>
          <w:numId w:val="5"/>
        </w:numPr>
        <w:spacing w:before="0" w:line="279" w:lineRule="auto"/>
      </w:pPr>
      <w:r>
        <w:t>Reside in a place designated by national authorities.</w:t>
      </w:r>
    </w:p>
    <w:p w14:paraId="4B70FBC7" w14:textId="77777777" w:rsidR="00CE1AF6" w:rsidRDefault="00B4625A">
      <w:pPr>
        <w:numPr>
          <w:ilvl w:val="1"/>
          <w:numId w:val="5"/>
        </w:numPr>
        <w:spacing w:before="0" w:line="279" w:lineRule="auto"/>
      </w:pPr>
      <w:r>
        <w:t>Deposit a financial guarantee that they will not abscond.</w:t>
      </w:r>
      <w:r>
        <w:br/>
      </w:r>
    </w:p>
    <w:p w14:paraId="4877E552" w14:textId="5EEC4CE2" w:rsidR="00CE1AF6" w:rsidRDefault="00B4625A">
      <w:pPr>
        <w:numPr>
          <w:ilvl w:val="0"/>
          <w:numId w:val="5"/>
        </w:numPr>
        <w:spacing w:before="0" w:line="279" w:lineRule="auto"/>
      </w:pPr>
      <w:r>
        <w:t xml:space="preserve">The European Council reminds the co-legislators of their humanitarian obligations.  </w:t>
      </w:r>
      <w:r w:rsidR="00760D6E">
        <w:t>The</w:t>
      </w:r>
      <w:r>
        <w:t xml:space="preserve"> Returns Regulation</w:t>
      </w:r>
      <w:r w:rsidR="00760D6E">
        <w:t>, therefore, should include a</w:t>
      </w:r>
      <w:r>
        <w:t xml:space="preserve"> provision of counselling and support for voluntary returns.</w:t>
      </w:r>
    </w:p>
    <w:p w14:paraId="3AA56770" w14:textId="77777777" w:rsidR="00CE1AF6" w:rsidRDefault="00B4625A">
      <w:pPr>
        <w:pBdr>
          <w:top w:val="nil"/>
          <w:left w:val="nil"/>
          <w:bottom w:val="nil"/>
          <w:right w:val="nil"/>
          <w:between w:val="nil"/>
        </w:pBdr>
        <w:spacing w:before="0" w:after="240" w:line="279" w:lineRule="auto"/>
        <w:ind w:left="0"/>
        <w:rPr>
          <w:color w:val="000000"/>
        </w:rPr>
      </w:pPr>
      <w:r>
        <w:t xml:space="preserve"> </w:t>
      </w:r>
    </w:p>
    <w:p w14:paraId="767DF5B2" w14:textId="77777777" w:rsidR="00CE1AF6" w:rsidRDefault="00CE1AF6">
      <w:pPr>
        <w:pBdr>
          <w:top w:val="nil"/>
          <w:left w:val="nil"/>
          <w:bottom w:val="nil"/>
          <w:right w:val="nil"/>
          <w:between w:val="nil"/>
        </w:pBdr>
        <w:spacing w:before="0" w:after="240" w:line="279" w:lineRule="auto"/>
        <w:ind w:firstLine="360"/>
      </w:pPr>
    </w:p>
    <w:p w14:paraId="5947AED7" w14:textId="77777777" w:rsidR="00CE1AF6" w:rsidRDefault="00CE1AF6">
      <w:pPr>
        <w:spacing w:after="240"/>
        <w:ind w:firstLine="360"/>
      </w:pPr>
    </w:p>
    <w:p w14:paraId="2E0B4DA4" w14:textId="77777777" w:rsidR="00CE1AF6" w:rsidRDefault="00CE1AF6">
      <w:pPr>
        <w:spacing w:after="240"/>
        <w:ind w:firstLine="360"/>
      </w:pPr>
    </w:p>
    <w:p w14:paraId="02AE56C3" w14:textId="77777777" w:rsidR="00CE1AF6" w:rsidRDefault="00B4625A">
      <w:pPr>
        <w:spacing w:after="240"/>
        <w:ind w:firstLine="360"/>
      </w:pPr>
      <w:r>
        <w:t xml:space="preserve"> </w:t>
      </w:r>
    </w:p>
    <w:p w14:paraId="75432392" w14:textId="77777777" w:rsidR="00CE1AF6" w:rsidRDefault="00CE1AF6">
      <w:pPr>
        <w:ind w:firstLine="360"/>
        <w:rPr>
          <w:color w:val="000000"/>
        </w:rPr>
      </w:pPr>
    </w:p>
    <w:p w14:paraId="2BB882BE" w14:textId="77777777" w:rsidR="00CE1AF6" w:rsidRDefault="00CE1AF6">
      <w:pPr>
        <w:ind w:firstLine="360"/>
        <w:rPr>
          <w:color w:val="202122"/>
        </w:rPr>
      </w:pPr>
    </w:p>
    <w:p w14:paraId="607C7063" w14:textId="77777777" w:rsidR="00CE1AF6" w:rsidRDefault="00B4625A">
      <w:pPr>
        <w:spacing w:after="160" w:line="259" w:lineRule="auto"/>
        <w:ind w:firstLine="360"/>
        <w:rPr>
          <w:sz w:val="36"/>
          <w:szCs w:val="36"/>
        </w:rPr>
      </w:pPr>
      <w:r>
        <w:br w:type="page"/>
      </w:r>
    </w:p>
    <w:p w14:paraId="20F07D1A" w14:textId="77777777" w:rsidR="00CE1AF6" w:rsidRDefault="00B4625A">
      <w:pPr>
        <w:pStyle w:val="Heading1"/>
        <w:ind w:left="0"/>
      </w:pPr>
      <w:bookmarkStart w:id="18" w:name="_Toc195781917"/>
      <w:r>
        <w:lastRenderedPageBreak/>
        <w:t>Competitiveness and Trade</w:t>
      </w:r>
      <w:bookmarkEnd w:id="18"/>
    </w:p>
    <w:p w14:paraId="44FC20F1" w14:textId="77777777" w:rsidR="00CE1AF6" w:rsidRDefault="00B4625A">
      <w:pPr>
        <w:pStyle w:val="Heading2"/>
        <w:ind w:left="0"/>
      </w:pPr>
      <w:bookmarkStart w:id="19" w:name="_Toc195781918"/>
      <w:r>
        <w:t>Background</w:t>
      </w:r>
      <w:bookmarkEnd w:id="19"/>
    </w:p>
    <w:p w14:paraId="178896DE" w14:textId="45A694C3" w:rsidR="00CE1AF6" w:rsidRDefault="00B4625A">
      <w:pPr>
        <w:ind w:left="0"/>
      </w:pPr>
      <w:r>
        <w:t>The EU faces steep competition in today’s growth industries. The EU’s greatest asset</w:t>
      </w:r>
      <w:r w:rsidR="00C71780">
        <w:t>—</w:t>
      </w:r>
      <w:r>
        <w:t>the internal market</w:t>
      </w:r>
      <w:r w:rsidR="00C71780">
        <w:t>—</w:t>
      </w:r>
      <w:r>
        <w:t xml:space="preserve">must be truly integrated to realize its competitive advantage in global competition.  Trade, external and internal security, and competitiveness are interrelated challenges that necessitate European action.  The internal market and joint European R&amp;D and production has made it possible for Europe to compete head-to-head with China and the US.  The EU, however, has not realized the full benefits of its internal market in establishing industries that can realize the economies of scale in production.  Some of this lack of competitiveness is the result of the EU’s anti-competition rules, which undermine the ability of European industries to form mergers that can achieve economies in R &amp; D, production, and markets.   This is especially critical in the Defence and Communications industries; for example, Elon Musk's Starlink has no similarly sized European alternative for the encrypted satellite services governments need for secure communications. The EU has also been eclipsed in the rapidly growing A.I. sector, and steps must be taken to foster research and commercial growth in the market.  Building on its global leadership with its AI Act, which established the regulatory structure for AI, the Union must now move forward in an AI industrial policy to marshal European ingenuity to become the global leader in AI technology. </w:t>
      </w:r>
    </w:p>
    <w:p w14:paraId="6E1089E7" w14:textId="77777777" w:rsidR="00CE1AF6" w:rsidRDefault="00B4625A">
      <w:pPr>
        <w:ind w:left="0"/>
      </w:pPr>
      <w:r>
        <w:t>The EU is also entering a new and difficult era with respect to Transatlantic Relations, particularly with respect to trade with the United States.  This calls for a renewed effort to forge deeper trading relationships with other trading partners and expand on existing agreements.</w:t>
      </w:r>
    </w:p>
    <w:p w14:paraId="0B875929" w14:textId="77777777" w:rsidR="00CE1AF6" w:rsidRDefault="00B4625A">
      <w:pPr>
        <w:pStyle w:val="Heading2"/>
        <w:ind w:left="0"/>
      </w:pPr>
      <w:bookmarkStart w:id="20" w:name="_Toc195781919"/>
      <w:r>
        <w:t>Recommendations</w:t>
      </w:r>
      <w:bookmarkEnd w:id="20"/>
    </w:p>
    <w:p w14:paraId="62741F48" w14:textId="77777777" w:rsidR="00CE1AF6" w:rsidRDefault="00B4625A">
      <w:pPr>
        <w:numPr>
          <w:ilvl w:val="0"/>
          <w:numId w:val="1"/>
        </w:numPr>
      </w:pPr>
      <w:r>
        <w:t xml:space="preserve">Actions should be taken to revitalize/increase the size and scope of homegrown aerospace/telecommunications companies to compete with American dominance in both sectors. There should be a subsidization of industrial development with a focus on establishing a competitive foothold in domestic markets. There should be a coordinated national escape clause activation planned for if a Member State exceeds SGP restrictions. </w:t>
      </w:r>
      <w:r>
        <w:br/>
      </w:r>
    </w:p>
    <w:p w14:paraId="1BE0FF80" w14:textId="77777777" w:rsidR="00CE1AF6" w:rsidRDefault="00B4625A">
      <w:pPr>
        <w:numPr>
          <w:ilvl w:val="0"/>
          <w:numId w:val="1"/>
        </w:numPr>
        <w:spacing w:before="0"/>
      </w:pPr>
      <w:r>
        <w:t xml:space="preserve">Encourage the Union to build a collective state encrypted telecommunications services through the </w:t>
      </w:r>
      <w:hyperlink r:id="rId14">
        <w:r>
          <w:rPr>
            <w:color w:val="1155CC"/>
            <w:u w:val="single"/>
          </w:rPr>
          <w:t>IRIS</w:t>
        </w:r>
      </w:hyperlink>
      <w:hyperlink r:id="rId15">
        <w:r>
          <w:rPr>
            <w:color w:val="1155CC"/>
            <w:u w:val="single"/>
            <w:vertAlign w:val="superscript"/>
          </w:rPr>
          <w:t>2</w:t>
        </w:r>
      </w:hyperlink>
      <w:r>
        <w:rPr>
          <w:vertAlign w:val="superscript"/>
        </w:rPr>
        <w:t xml:space="preserve"> </w:t>
      </w:r>
      <w:r>
        <w:t xml:space="preserve"> (</w:t>
      </w:r>
      <w:hyperlink r:id="rId16">
        <w:r>
          <w:rPr>
            <w:color w:val="1155CC"/>
            <w:u w:val="single"/>
          </w:rPr>
          <w:t>Infrastructure for Resilience, Interconnectivity and Security by Satellite</w:t>
        </w:r>
      </w:hyperlink>
      <w:r>
        <w:t xml:space="preserve">) Project.  Funding to speed up the design phase is imperative.  </w:t>
      </w:r>
      <w:r>
        <w:br/>
      </w:r>
    </w:p>
    <w:p w14:paraId="21B68C05" w14:textId="77777777" w:rsidR="00CE1AF6" w:rsidRDefault="00B4625A">
      <w:pPr>
        <w:numPr>
          <w:ilvl w:val="0"/>
          <w:numId w:val="1"/>
        </w:numPr>
        <w:spacing w:before="0"/>
      </w:pPr>
      <w:r>
        <w:t xml:space="preserve">The European Council welcomes the 5 April 2025 publication of the European Commission’s </w:t>
      </w:r>
      <w:hyperlink r:id="rId17">
        <w:r>
          <w:rPr>
            <w:color w:val="1155CC"/>
            <w:u w:val="single"/>
          </w:rPr>
          <w:t>AI Continent Action Plan</w:t>
        </w:r>
      </w:hyperlink>
      <w:r>
        <w:t>.  To ensure the EU becomes the global leader in AI, the European Council directs the Commission and its partner, the European Investment Bank, to implement the action plan:</w:t>
      </w:r>
    </w:p>
    <w:p w14:paraId="73267055" w14:textId="77777777" w:rsidR="00CE1AF6" w:rsidRDefault="00B4625A">
      <w:pPr>
        <w:numPr>
          <w:ilvl w:val="1"/>
          <w:numId w:val="1"/>
        </w:numPr>
        <w:spacing w:before="0"/>
      </w:pPr>
      <w:r>
        <w:lastRenderedPageBreak/>
        <w:t xml:space="preserve"> €20 billion financing from InvestAI a network of AI factories and five AI Gigafactories across the Union utilising a public-private partnership model.</w:t>
      </w:r>
    </w:p>
    <w:p w14:paraId="24B068E3" w14:textId="77777777" w:rsidR="00CE1AF6" w:rsidRDefault="00B4625A">
      <w:pPr>
        <w:numPr>
          <w:ilvl w:val="1"/>
          <w:numId w:val="1"/>
        </w:numPr>
        <w:spacing w:before="0"/>
      </w:pPr>
      <w:r>
        <w:t>ensure the network of AI factories and AI gigafactories are powered by carbon neutral electricity.</w:t>
      </w:r>
    </w:p>
    <w:p w14:paraId="1EB4979F" w14:textId="77777777" w:rsidR="00CE1AF6" w:rsidRDefault="00B4625A">
      <w:pPr>
        <w:numPr>
          <w:ilvl w:val="1"/>
          <w:numId w:val="1"/>
        </w:numPr>
        <w:spacing w:before="0"/>
      </w:pPr>
      <w:r>
        <w:t>establish specialised labs to improve access of startups to high-quality training data.</w:t>
      </w:r>
    </w:p>
    <w:p w14:paraId="1129695C" w14:textId="77777777" w:rsidR="00CE1AF6" w:rsidRDefault="00B4625A">
      <w:pPr>
        <w:numPr>
          <w:ilvl w:val="1"/>
          <w:numId w:val="1"/>
        </w:numPr>
        <w:spacing w:before="0"/>
      </w:pPr>
      <w:r>
        <w:t xml:space="preserve"> enact a duty on sophisticated AI based goods (electronics/parts) and services developed/made outside the Single Market to help fund European AI initiatives.</w:t>
      </w:r>
    </w:p>
    <w:p w14:paraId="7CBBA38B" w14:textId="77777777" w:rsidR="00CE1AF6" w:rsidRDefault="00B4625A">
      <w:pPr>
        <w:numPr>
          <w:ilvl w:val="1"/>
          <w:numId w:val="1"/>
        </w:numPr>
        <w:spacing w:before="0"/>
      </w:pPr>
      <w:r>
        <w:t>establish an AI Act Service Desk to help businesses comply with the AI Act.</w:t>
      </w:r>
    </w:p>
    <w:p w14:paraId="457E0362" w14:textId="77777777" w:rsidR="00CE1AF6" w:rsidRDefault="00B4625A">
      <w:pPr>
        <w:numPr>
          <w:ilvl w:val="1"/>
          <w:numId w:val="1"/>
        </w:numPr>
        <w:spacing w:before="0"/>
      </w:pPr>
      <w:r>
        <w:t>undertake Apply AI Consultation to gather feedback from stakeholders regarding the challenges of navigating the AI Act.</w:t>
      </w:r>
    </w:p>
    <w:p w14:paraId="0E54920F" w14:textId="4A825EC5" w:rsidR="00CE1AF6" w:rsidRDefault="00B4625A">
      <w:pPr>
        <w:numPr>
          <w:ilvl w:val="1"/>
          <w:numId w:val="1"/>
        </w:numPr>
        <w:spacing w:before="0"/>
      </w:pPr>
      <w:r>
        <w:t xml:space="preserve">open public consultation on the proposed </w:t>
      </w:r>
      <w:r>
        <w:rPr>
          <w:i/>
        </w:rPr>
        <w:t xml:space="preserve">Cloud and AI Development Act </w:t>
      </w:r>
      <w:r>
        <w:t>to triple the EU’s data centre capacity in the next five years’</w:t>
      </w:r>
    </w:p>
    <w:p w14:paraId="5D73F98D" w14:textId="77777777" w:rsidR="00CE1AF6" w:rsidRDefault="00B4625A">
      <w:pPr>
        <w:numPr>
          <w:ilvl w:val="1"/>
          <w:numId w:val="1"/>
        </w:numPr>
        <w:spacing w:before="0"/>
      </w:pPr>
      <w:r>
        <w:t>focus on ‘Made in Europe’ components to drive the AI strategy.</w:t>
      </w:r>
      <w:r>
        <w:br/>
      </w:r>
    </w:p>
    <w:p w14:paraId="45398797" w14:textId="77777777" w:rsidR="00CE1AF6" w:rsidRDefault="00B4625A">
      <w:pPr>
        <w:numPr>
          <w:ilvl w:val="0"/>
          <w:numId w:val="1"/>
        </w:numPr>
        <w:spacing w:before="0"/>
      </w:pPr>
      <w:r>
        <w:t>The Council reiterates the importance of further strengthening the Capital Union to ensure maximum movement and investment across the Union, particularly to ensure the availability of venture capital for European startups in green technology, defence, communications, and AI.</w:t>
      </w:r>
      <w:r>
        <w:br/>
      </w:r>
    </w:p>
    <w:p w14:paraId="4B137EE0" w14:textId="77777777" w:rsidR="00CE1AF6" w:rsidRDefault="00B4625A">
      <w:pPr>
        <w:numPr>
          <w:ilvl w:val="0"/>
          <w:numId w:val="1"/>
        </w:numPr>
        <w:spacing w:before="0"/>
      </w:pPr>
      <w:r>
        <w:t>The Commission should be urged to consider the European Council’s recognition that EU firms are competing with very large American and Chinese corporations.  Global competition must be a factor in considering merger requests by European corporations.</w:t>
      </w:r>
      <w:r>
        <w:br/>
      </w:r>
    </w:p>
    <w:p w14:paraId="45F73B1B" w14:textId="0C7771A9" w:rsidR="00CE1AF6" w:rsidRDefault="00B4625A">
      <w:pPr>
        <w:numPr>
          <w:ilvl w:val="0"/>
          <w:numId w:val="1"/>
        </w:numPr>
        <w:spacing w:before="0"/>
      </w:pPr>
      <w:r>
        <w:t xml:space="preserve">The European Council recognizes the volatility of the tariffs levied on European products by the Trump administration. The Union has suspended the €22 billion counter tariffs considering the Trump administration’s “pause” on a 20% tariff on all European </w:t>
      </w:r>
      <w:r w:rsidR="008241FB">
        <w:t>products, but</w:t>
      </w:r>
      <w:r>
        <w:t xml:space="preserve">  condemns the unjustified 10% across-the-board import tariff and the 25% US tariffs on steel and aluminium imports, which involves a loss of </w:t>
      </w:r>
      <w:r>
        <w:rPr>
          <w:highlight w:val="white"/>
        </w:rPr>
        <w:t>€25.7billion to the internal market’s economy</w:t>
      </w:r>
      <w:r>
        <w:t xml:space="preserve">.  The European Council will continue to promote dialogue with US trade authorities and counsels the Member States to resist the temptation to strike unilateral deals with the Trump administration. </w:t>
      </w:r>
      <w:r>
        <w:br/>
      </w:r>
    </w:p>
    <w:p w14:paraId="38A34B95" w14:textId="77777777" w:rsidR="00CE1AF6" w:rsidRDefault="00B4625A">
      <w:pPr>
        <w:numPr>
          <w:ilvl w:val="0"/>
          <w:numId w:val="1"/>
        </w:numPr>
        <w:spacing w:before="0"/>
      </w:pPr>
      <w:r>
        <w:t xml:space="preserve">The Commission must remain vigilant regarding imports from China.  The Union cannot become a dumping ground for Chinese products diverted from the US due to the US-China trade war. </w:t>
      </w:r>
    </w:p>
    <w:p w14:paraId="6B97659F" w14:textId="77777777" w:rsidR="00CE1AF6" w:rsidRDefault="00B4625A">
      <w:pPr>
        <w:pStyle w:val="Heading1"/>
        <w:shd w:val="clear" w:color="auto" w:fill="FFFFFF"/>
        <w:spacing w:after="280" w:line="259" w:lineRule="auto"/>
        <w:ind w:left="0"/>
      </w:pPr>
      <w:bookmarkStart w:id="21" w:name="_Toc195781920"/>
      <w:r>
        <w:lastRenderedPageBreak/>
        <w:t>Affordable Housing</w:t>
      </w:r>
      <w:bookmarkEnd w:id="21"/>
    </w:p>
    <w:p w14:paraId="2A228471" w14:textId="77777777" w:rsidR="00CE1AF6" w:rsidRDefault="00B4625A">
      <w:pPr>
        <w:pStyle w:val="Heading2"/>
        <w:shd w:val="clear" w:color="auto" w:fill="FFFFFF"/>
        <w:spacing w:after="280" w:line="259" w:lineRule="auto"/>
        <w:ind w:left="0"/>
      </w:pPr>
      <w:bookmarkStart w:id="22" w:name="_Toc195781921"/>
      <w:r>
        <w:t>Background</w:t>
      </w:r>
      <w:bookmarkEnd w:id="22"/>
    </w:p>
    <w:p w14:paraId="093FAA50" w14:textId="77777777" w:rsidR="00CE1AF6" w:rsidRDefault="00B4625A">
      <w:pPr>
        <w:shd w:val="clear" w:color="auto" w:fill="FFFFFF"/>
        <w:spacing w:after="280" w:line="259" w:lineRule="auto"/>
        <w:ind w:left="0"/>
        <w:rPr>
          <w:color w:val="202122"/>
        </w:rPr>
      </w:pPr>
      <w:r>
        <w:rPr>
          <w:color w:val="202122"/>
        </w:rPr>
        <w:t xml:space="preserve">The EU has great wealth, but also people with great needs. The high cost of housing has led to an affordable housing crisis across the Union.  House prices increased by 47% between 2010 and 2022, with rents rising 18% over the same period (Eurostat).  In some Member States, more than 20% of households are paying 40% or more of their net income on housing. This problem is particularly acute in the Union’s major cities, leading to mass protests. The lack of affordable housing has also led to an increase in the unhoused population with an average of 895,000 people who are unhoused on any given night. Irregular migration has also increased pressure on the availability of affordable housing.  </w:t>
      </w:r>
    </w:p>
    <w:p w14:paraId="6A756892" w14:textId="77777777" w:rsidR="00CE1AF6" w:rsidRDefault="00B4625A">
      <w:pPr>
        <w:pStyle w:val="Heading2"/>
        <w:shd w:val="clear" w:color="auto" w:fill="FFFFFF"/>
        <w:spacing w:after="280" w:line="259" w:lineRule="auto"/>
        <w:ind w:left="0"/>
      </w:pPr>
      <w:bookmarkStart w:id="23" w:name="_heading=h.e6ca4rraavhx" w:colFirst="0" w:colLast="0"/>
      <w:bookmarkStart w:id="24" w:name="_Toc195781922"/>
      <w:bookmarkEnd w:id="23"/>
      <w:r>
        <w:t>Recommendations</w:t>
      </w:r>
      <w:bookmarkEnd w:id="24"/>
    </w:p>
    <w:p w14:paraId="35399B02" w14:textId="77777777" w:rsidR="00CE1AF6" w:rsidRDefault="00B4625A" w:rsidP="008241FB">
      <w:pPr>
        <w:numPr>
          <w:ilvl w:val="0"/>
          <w:numId w:val="4"/>
        </w:numPr>
        <w:shd w:val="clear" w:color="auto" w:fill="FFFFFF"/>
        <w:spacing w:before="140" w:line="259" w:lineRule="auto"/>
        <w:ind w:left="360"/>
        <w:rPr>
          <w:color w:val="202122"/>
        </w:rPr>
      </w:pPr>
      <w:r>
        <w:rPr>
          <w:color w:val="202122"/>
        </w:rPr>
        <w:t>The European Council directs the European Commission to assist Member States in:</w:t>
      </w:r>
    </w:p>
    <w:p w14:paraId="7DFC59C4" w14:textId="77777777" w:rsidR="00CE1AF6" w:rsidRDefault="00B4625A" w:rsidP="008241FB">
      <w:pPr>
        <w:numPr>
          <w:ilvl w:val="0"/>
          <w:numId w:val="2"/>
        </w:numPr>
        <w:shd w:val="clear" w:color="auto" w:fill="FFFFFF"/>
        <w:spacing w:before="0" w:line="259" w:lineRule="auto"/>
        <w:ind w:left="720"/>
        <w:rPr>
          <w:color w:val="202122"/>
        </w:rPr>
      </w:pPr>
      <w:r>
        <w:rPr>
          <w:color w:val="202122"/>
        </w:rPr>
        <w:t xml:space="preserve">promoting more affordable housing, as well as focusing more on providing stable homes rather than temporary shelters for those who become homeless. </w:t>
      </w:r>
    </w:p>
    <w:p w14:paraId="550C9D54" w14:textId="77777777" w:rsidR="00CE1AF6" w:rsidRDefault="00B4625A" w:rsidP="008241FB">
      <w:pPr>
        <w:numPr>
          <w:ilvl w:val="0"/>
          <w:numId w:val="2"/>
        </w:numPr>
        <w:shd w:val="clear" w:color="auto" w:fill="FFFFFF"/>
        <w:spacing w:before="0" w:line="259" w:lineRule="auto"/>
        <w:ind w:left="720"/>
        <w:rPr>
          <w:color w:val="202122"/>
        </w:rPr>
      </w:pPr>
      <w:r>
        <w:rPr>
          <w:color w:val="202122"/>
        </w:rPr>
        <w:t xml:space="preserve">gaining a better understanding of the causes behind why the cost of living is high in Europe.  </w:t>
      </w:r>
    </w:p>
    <w:p w14:paraId="5FFC735C" w14:textId="77777777" w:rsidR="00CE1AF6" w:rsidRDefault="00B4625A" w:rsidP="008241FB">
      <w:pPr>
        <w:numPr>
          <w:ilvl w:val="0"/>
          <w:numId w:val="2"/>
        </w:numPr>
        <w:shd w:val="clear" w:color="auto" w:fill="FFFFFF"/>
        <w:spacing w:before="0" w:line="259" w:lineRule="auto"/>
        <w:ind w:left="720"/>
        <w:rPr>
          <w:color w:val="202122"/>
        </w:rPr>
      </w:pPr>
      <w:r>
        <w:rPr>
          <w:color w:val="202122"/>
        </w:rPr>
        <w:t>building a cadre of professionals in the field to advocate for European-wide solutions to establish more affordable housing options.</w:t>
      </w:r>
    </w:p>
    <w:p w14:paraId="72E27413" w14:textId="77777777" w:rsidR="00CE1AF6" w:rsidRDefault="00B4625A" w:rsidP="008241FB">
      <w:pPr>
        <w:numPr>
          <w:ilvl w:val="0"/>
          <w:numId w:val="2"/>
        </w:numPr>
        <w:shd w:val="clear" w:color="auto" w:fill="FFFFFF"/>
        <w:spacing w:before="0" w:line="259" w:lineRule="auto"/>
        <w:ind w:left="720"/>
        <w:rPr>
          <w:color w:val="202122"/>
        </w:rPr>
      </w:pPr>
      <w:r>
        <w:rPr>
          <w:color w:val="202122"/>
        </w:rPr>
        <w:t>enhancing public-private partnerships to encourage renovation of existing structures</w:t>
      </w:r>
    </w:p>
    <w:p w14:paraId="748BED11" w14:textId="237E0145" w:rsidR="00CE1AF6" w:rsidRDefault="00B4625A" w:rsidP="008241FB">
      <w:pPr>
        <w:numPr>
          <w:ilvl w:val="0"/>
          <w:numId w:val="2"/>
        </w:numPr>
        <w:shd w:val="clear" w:color="auto" w:fill="FFFFFF"/>
        <w:spacing w:before="0" w:after="280" w:line="259" w:lineRule="auto"/>
        <w:ind w:left="720"/>
        <w:rPr>
          <w:color w:val="202122"/>
        </w:rPr>
      </w:pPr>
      <w:r>
        <w:rPr>
          <w:color w:val="202122"/>
        </w:rPr>
        <w:t>promoting innovati</w:t>
      </w:r>
      <w:r w:rsidR="006421FC">
        <w:rPr>
          <w:color w:val="202122"/>
        </w:rPr>
        <w:t>ve</w:t>
      </w:r>
      <w:r>
        <w:rPr>
          <w:color w:val="202122"/>
        </w:rPr>
        <w:t xml:space="preserve"> solutions</w:t>
      </w:r>
      <w:r w:rsidR="006421FC">
        <w:rPr>
          <w:color w:val="202122"/>
        </w:rPr>
        <w:t>.</w:t>
      </w:r>
      <w:r>
        <w:rPr>
          <w:color w:val="202122"/>
        </w:rPr>
        <w:t xml:space="preserve"> </w:t>
      </w:r>
    </w:p>
    <w:p w14:paraId="3712A23B" w14:textId="3403758E" w:rsidR="00CE1AF6" w:rsidRDefault="00B4625A" w:rsidP="008241FB">
      <w:pPr>
        <w:shd w:val="clear" w:color="auto" w:fill="FFFFFF"/>
        <w:spacing w:before="140" w:after="280" w:line="259" w:lineRule="auto"/>
        <w:ind w:left="0"/>
        <w:rPr>
          <w:color w:val="202122"/>
        </w:rPr>
      </w:pPr>
      <w:r>
        <w:rPr>
          <w:color w:val="202122"/>
        </w:rPr>
        <w:t xml:space="preserve">2.  The European Council looks forward to the delivery in early 2026 of the European Affordable Housing Plan, which is being developed by Dan </w:t>
      </w:r>
      <w:r>
        <w:rPr>
          <w:color w:val="1F1F1F"/>
          <w:highlight w:val="white"/>
        </w:rPr>
        <w:t>Jørgensen, Commissioner for Energy and Housing. The European Council reiterates the importance of including the following elements in the European Affordable Housing Plan</w:t>
      </w:r>
      <w:r w:rsidR="006421FC">
        <w:rPr>
          <w:color w:val="1F1F1F"/>
        </w:rPr>
        <w:t>:</w:t>
      </w:r>
    </w:p>
    <w:p w14:paraId="60E6916A" w14:textId="77777777" w:rsidR="00CE1AF6" w:rsidRDefault="00B4625A">
      <w:pPr>
        <w:numPr>
          <w:ilvl w:val="0"/>
          <w:numId w:val="6"/>
        </w:numPr>
        <w:shd w:val="clear" w:color="auto" w:fill="FFFFFF"/>
        <w:spacing w:line="259" w:lineRule="auto"/>
        <w:rPr>
          <w:color w:val="202122"/>
        </w:rPr>
      </w:pPr>
      <w:r>
        <w:rPr>
          <w:color w:val="202122"/>
        </w:rPr>
        <w:t>Mechanisms for easing housing policies in Member States to develop the necessary levels of private investment in the housing market to satisfy the current demand.</w:t>
      </w:r>
    </w:p>
    <w:p w14:paraId="08658380" w14:textId="77777777" w:rsidR="00CE1AF6" w:rsidRDefault="00B4625A">
      <w:pPr>
        <w:numPr>
          <w:ilvl w:val="0"/>
          <w:numId w:val="6"/>
        </w:numPr>
        <w:shd w:val="clear" w:color="auto" w:fill="FFFFFF"/>
        <w:spacing w:before="0" w:line="259" w:lineRule="auto"/>
        <w:rPr>
          <w:color w:val="202122"/>
        </w:rPr>
      </w:pPr>
      <w:r>
        <w:rPr>
          <w:color w:val="202122"/>
        </w:rPr>
        <w:t>Address the impact of higher interest rates and high construction costs to create a friendlier environment for housing investment.</w:t>
      </w:r>
    </w:p>
    <w:p w14:paraId="39727FDF" w14:textId="77777777" w:rsidR="00CE1AF6" w:rsidRDefault="00B4625A">
      <w:pPr>
        <w:numPr>
          <w:ilvl w:val="0"/>
          <w:numId w:val="6"/>
        </w:numPr>
        <w:shd w:val="clear" w:color="auto" w:fill="FFFFFF"/>
        <w:spacing w:before="0" w:line="259" w:lineRule="auto"/>
        <w:rPr>
          <w:color w:val="202122"/>
        </w:rPr>
      </w:pPr>
      <w:r>
        <w:rPr>
          <w:color w:val="202122"/>
        </w:rPr>
        <w:t xml:space="preserve"> Ensure that at least 10% of new housing investments focus on providing affordable housing with long-term contracts.</w:t>
      </w:r>
    </w:p>
    <w:p w14:paraId="78A05497" w14:textId="77777777" w:rsidR="00CE1AF6" w:rsidRDefault="00B4625A">
      <w:pPr>
        <w:numPr>
          <w:ilvl w:val="0"/>
          <w:numId w:val="6"/>
        </w:numPr>
        <w:shd w:val="clear" w:color="auto" w:fill="FFFFFF"/>
        <w:spacing w:before="0" w:line="259" w:lineRule="auto"/>
        <w:rPr>
          <w:color w:val="202122"/>
        </w:rPr>
      </w:pPr>
      <w:r>
        <w:rPr>
          <w:color w:val="202122"/>
        </w:rPr>
        <w:t xml:space="preserve"> Authorise </w:t>
      </w:r>
      <w:r>
        <w:rPr>
          <w:highlight w:val="white"/>
        </w:rPr>
        <w:t xml:space="preserve">the European Investment Bank (EIB) to lend to Member States to support affordable and sustainable housing in the EU.  </w:t>
      </w:r>
    </w:p>
    <w:p w14:paraId="39DA291B" w14:textId="77777777" w:rsidR="00CE1AF6" w:rsidRDefault="00B4625A">
      <w:pPr>
        <w:numPr>
          <w:ilvl w:val="0"/>
          <w:numId w:val="6"/>
        </w:numPr>
        <w:shd w:val="clear" w:color="auto" w:fill="FFFFFF"/>
        <w:spacing w:before="0" w:line="259" w:lineRule="auto"/>
        <w:rPr>
          <w:highlight w:val="white"/>
        </w:rPr>
      </w:pPr>
      <w:r>
        <w:rPr>
          <w:highlight w:val="white"/>
        </w:rPr>
        <w:t>Provide a best practices code for zoning rules and renovation of historic sites that can prevent or slow down the availability of affordable housing.</w:t>
      </w:r>
    </w:p>
    <w:p w14:paraId="0167BB37" w14:textId="77777777" w:rsidR="00CE1AF6" w:rsidRDefault="00B4625A">
      <w:pPr>
        <w:shd w:val="clear" w:color="auto" w:fill="FFFFFF"/>
        <w:spacing w:after="240" w:line="259" w:lineRule="auto"/>
        <w:ind w:firstLine="360"/>
        <w:rPr>
          <w:color w:val="202122"/>
        </w:rPr>
      </w:pPr>
      <w:r>
        <w:rPr>
          <w:color w:val="202122"/>
        </w:rPr>
        <w:t>3. The Union shall endeavour to invest more funds into affordable housing for Member States.</w:t>
      </w:r>
    </w:p>
    <w:p w14:paraId="0385EE9F" w14:textId="77777777" w:rsidR="00CE1AF6" w:rsidRDefault="00B4625A" w:rsidP="00237CB0">
      <w:pPr>
        <w:shd w:val="clear" w:color="auto" w:fill="FFFFFF"/>
        <w:spacing w:after="240" w:line="259" w:lineRule="auto"/>
        <w:rPr>
          <w:color w:val="202122"/>
        </w:rPr>
      </w:pPr>
      <w:r>
        <w:rPr>
          <w:color w:val="202122"/>
        </w:rPr>
        <w:lastRenderedPageBreak/>
        <w:t>a. The Council of the European Union shall work with the European Parliament and other interested parties to create a new agency to oversee this new program.</w:t>
      </w:r>
    </w:p>
    <w:p w14:paraId="442001BC" w14:textId="5A3F1325" w:rsidR="00CE1AF6" w:rsidRDefault="00B4625A" w:rsidP="00237CB0">
      <w:pPr>
        <w:shd w:val="clear" w:color="auto" w:fill="FFFFFF"/>
        <w:spacing w:after="240" w:line="259" w:lineRule="auto"/>
        <w:rPr>
          <w:color w:val="202122"/>
        </w:rPr>
      </w:pPr>
      <w:r>
        <w:rPr>
          <w:color w:val="202122"/>
        </w:rPr>
        <w:t xml:space="preserve">b.  The European Council will issue its </w:t>
      </w:r>
      <w:r w:rsidR="003166F1">
        <w:rPr>
          <w:color w:val="202122"/>
        </w:rPr>
        <w:t xml:space="preserve">determining </w:t>
      </w:r>
      <w:r>
        <w:rPr>
          <w:color w:val="202122"/>
        </w:rPr>
        <w:t xml:space="preserve">decision in December 2025 </w:t>
      </w:r>
      <w:r w:rsidR="003166F1">
        <w:rPr>
          <w:color w:val="202122"/>
        </w:rPr>
        <w:t>concerning t</w:t>
      </w:r>
      <w:r w:rsidR="00C613CA">
        <w:rPr>
          <w:color w:val="202122"/>
        </w:rPr>
        <w:t>he</w:t>
      </w:r>
      <w:r>
        <w:rPr>
          <w:color w:val="202122"/>
        </w:rPr>
        <w:t xml:space="preserve"> Member State </w:t>
      </w:r>
      <w:r w:rsidR="00C613CA">
        <w:rPr>
          <w:color w:val="202122"/>
        </w:rPr>
        <w:t xml:space="preserve">in which </w:t>
      </w:r>
      <w:r>
        <w:rPr>
          <w:color w:val="202122"/>
        </w:rPr>
        <w:t>the new European housing agency will be located.</w:t>
      </w:r>
    </w:p>
    <w:p w14:paraId="1AEF6292" w14:textId="1C4987BD" w:rsidR="00CE1AF6" w:rsidRDefault="00B4625A" w:rsidP="00237CB0">
      <w:pPr>
        <w:shd w:val="clear" w:color="auto" w:fill="FFFFFF"/>
        <w:spacing w:after="240" w:line="259" w:lineRule="auto"/>
        <w:rPr>
          <w:color w:val="202122"/>
        </w:rPr>
      </w:pPr>
      <w:r>
        <w:rPr>
          <w:color w:val="202122"/>
        </w:rPr>
        <w:t>c. Th</w:t>
      </w:r>
      <w:r w:rsidR="00C613CA">
        <w:rPr>
          <w:color w:val="202122"/>
        </w:rPr>
        <w:t>e</w:t>
      </w:r>
      <w:r>
        <w:rPr>
          <w:color w:val="202122"/>
        </w:rPr>
        <w:t xml:space="preserve"> </w:t>
      </w:r>
      <w:r w:rsidR="00C613CA">
        <w:rPr>
          <w:color w:val="202122"/>
        </w:rPr>
        <w:t>European Housing A</w:t>
      </w:r>
      <w:r>
        <w:rPr>
          <w:color w:val="202122"/>
        </w:rPr>
        <w:t>gency shall work closely with local partners to create housing that is accessible specifically for people under the age of 28 to decrease the number of youths living in their parental homes.</w:t>
      </w:r>
    </w:p>
    <w:p w14:paraId="6CA54A63" w14:textId="13548EC6" w:rsidR="00CE1AF6" w:rsidRDefault="00B4625A" w:rsidP="00237CB0">
      <w:pPr>
        <w:shd w:val="clear" w:color="auto" w:fill="FFFFFF"/>
        <w:spacing w:after="240" w:line="259" w:lineRule="auto"/>
        <w:rPr>
          <w:color w:val="202122"/>
        </w:rPr>
      </w:pPr>
      <w:r>
        <w:rPr>
          <w:color w:val="202122"/>
        </w:rPr>
        <w:t xml:space="preserve">d. The </w:t>
      </w:r>
      <w:r w:rsidR="00C613CA">
        <w:rPr>
          <w:color w:val="202122"/>
        </w:rPr>
        <w:t>European Housing Agency</w:t>
      </w:r>
      <w:r>
        <w:rPr>
          <w:color w:val="202122"/>
        </w:rPr>
        <w:t xml:space="preserve"> shall work with the European Commission and </w:t>
      </w:r>
      <w:r w:rsidR="00EF5720">
        <w:rPr>
          <w:color w:val="202122"/>
        </w:rPr>
        <w:t>co-legislators</w:t>
      </w:r>
      <w:r>
        <w:rPr>
          <w:color w:val="202122"/>
        </w:rPr>
        <w:t xml:space="preserve"> to increase the availability of affordable housing for EU citizens in all Member States.</w:t>
      </w:r>
    </w:p>
    <w:p w14:paraId="1C239F85" w14:textId="4F89ABD1" w:rsidR="00CE1AF6" w:rsidRDefault="00B4625A" w:rsidP="00237CB0">
      <w:pPr>
        <w:shd w:val="clear" w:color="auto" w:fill="FFFFFF"/>
        <w:spacing w:after="240" w:line="259" w:lineRule="auto"/>
        <w:ind w:left="720"/>
        <w:rPr>
          <w:color w:val="202122"/>
        </w:rPr>
      </w:pPr>
      <w:r>
        <w:rPr>
          <w:color w:val="202122"/>
        </w:rPr>
        <w:t xml:space="preserve">i. To assist with this objective, the </w:t>
      </w:r>
      <w:r w:rsidR="00EF5720">
        <w:rPr>
          <w:color w:val="202122"/>
        </w:rPr>
        <w:t>European Housing Agency</w:t>
      </w:r>
      <w:r>
        <w:rPr>
          <w:color w:val="202122"/>
        </w:rPr>
        <w:t xml:space="preserve"> shall have an observational component focused on tracking immigration data to ensure that new immigrants/refugees are not heavily impacting the housing crisis and act accordingly.</w:t>
      </w:r>
    </w:p>
    <w:p w14:paraId="1DAB65FE" w14:textId="77777777" w:rsidR="00CE1AF6" w:rsidRDefault="00B4625A" w:rsidP="00272784">
      <w:pPr>
        <w:shd w:val="clear" w:color="auto" w:fill="FFFFFF"/>
        <w:spacing w:after="240" w:line="259" w:lineRule="auto"/>
        <w:ind w:left="0"/>
        <w:rPr>
          <w:color w:val="202122"/>
        </w:rPr>
      </w:pPr>
      <w:r>
        <w:rPr>
          <w:color w:val="202122"/>
        </w:rPr>
        <w:t>4. The European Council requests that Member States work to reduce homelessness in the EU by 25% by 2030, as a core element and protection of any housing policy.</w:t>
      </w:r>
    </w:p>
    <w:p w14:paraId="53748F59" w14:textId="77777777" w:rsidR="00CE1AF6" w:rsidRDefault="00B4625A" w:rsidP="00851086">
      <w:pPr>
        <w:shd w:val="clear" w:color="auto" w:fill="FFFFFF"/>
        <w:spacing w:after="240" w:line="259" w:lineRule="auto"/>
        <w:ind w:left="0"/>
        <w:rPr>
          <w:color w:val="202122"/>
        </w:rPr>
      </w:pPr>
      <w:r>
        <w:rPr>
          <w:color w:val="202122"/>
        </w:rPr>
        <w:t>5. Implement regulation for an online system collecting a bed tax on all short-term rentals. The tax will be used for a new “Housing Solidarity Fund'' to assist Europeans in obtaining affordable housing.</w:t>
      </w:r>
    </w:p>
    <w:p w14:paraId="39AC2D83" w14:textId="77777777" w:rsidR="00CE1AF6" w:rsidRDefault="00B4625A" w:rsidP="00272784">
      <w:pPr>
        <w:shd w:val="clear" w:color="auto" w:fill="FFFFFF"/>
        <w:spacing w:after="240" w:line="259" w:lineRule="auto"/>
        <w:rPr>
          <w:color w:val="202122"/>
        </w:rPr>
      </w:pPr>
      <w:r>
        <w:rPr>
          <w:color w:val="202122"/>
        </w:rPr>
        <w:t>a. The Commission will convene a reflection group of housing experts (builders, renters, local authorities, housing experts, etc.) to produce a Green Paper with their recommendations as to how this tax could be implemented.</w:t>
      </w:r>
    </w:p>
    <w:p w14:paraId="1D5ACED0" w14:textId="77777777" w:rsidR="00CE1AF6" w:rsidRDefault="00B4625A" w:rsidP="00272784">
      <w:pPr>
        <w:shd w:val="clear" w:color="auto" w:fill="FFFFFF"/>
        <w:spacing w:after="240" w:line="259" w:lineRule="auto"/>
        <w:rPr>
          <w:color w:val="202122"/>
        </w:rPr>
      </w:pPr>
      <w:r>
        <w:rPr>
          <w:color w:val="202122"/>
        </w:rPr>
        <w:t>b. The Housing Solidarity Fund will distribute funds to local communities that are experiencing housing shortages due to an excess of short-term rentals.</w:t>
      </w:r>
    </w:p>
    <w:p w14:paraId="3FBCBB55" w14:textId="77777777" w:rsidR="00CE1AF6" w:rsidRDefault="00B4625A">
      <w:pPr>
        <w:spacing w:after="240" w:line="240" w:lineRule="auto"/>
        <w:ind w:firstLine="360"/>
        <w:rPr>
          <w:color w:val="202122"/>
        </w:rPr>
      </w:pPr>
      <w:r>
        <w:br w:type="page"/>
      </w:r>
    </w:p>
    <w:p w14:paraId="466B8771" w14:textId="77777777" w:rsidR="00CE1AF6" w:rsidRDefault="00CE1AF6">
      <w:pPr>
        <w:shd w:val="clear" w:color="auto" w:fill="FFFFFF"/>
        <w:spacing w:before="140" w:after="280" w:line="256" w:lineRule="auto"/>
        <w:ind w:firstLine="360"/>
        <w:rPr>
          <w:color w:val="202122"/>
        </w:rPr>
      </w:pPr>
    </w:p>
    <w:p w14:paraId="2637D28B" w14:textId="77777777" w:rsidR="00CE1AF6" w:rsidRDefault="00B4625A">
      <w:pPr>
        <w:shd w:val="clear" w:color="auto" w:fill="FFFFFF"/>
        <w:spacing w:after="240" w:line="259" w:lineRule="auto"/>
        <w:ind w:firstLine="360"/>
        <w:rPr>
          <w:rFonts w:ascii="Arial" w:hAnsi="Arial"/>
          <w:color w:val="202122"/>
          <w:sz w:val="29"/>
          <w:szCs w:val="29"/>
        </w:rPr>
      </w:pPr>
      <w:r>
        <w:rPr>
          <w:rFonts w:ascii="Lobster" w:eastAsia="Lobster" w:hAnsi="Lobster" w:cs="Lobster"/>
          <w:color w:val="202122"/>
          <w:sz w:val="28"/>
          <w:szCs w:val="28"/>
        </w:rPr>
        <w:t xml:space="preserve"> </w:t>
      </w:r>
    </w:p>
    <w:p w14:paraId="4694E5D4" w14:textId="77777777" w:rsidR="00CE1AF6" w:rsidRDefault="00B4625A">
      <w:pPr>
        <w:pStyle w:val="Heading1"/>
        <w:ind w:firstLine="360"/>
      </w:pPr>
      <w:bookmarkStart w:id="25" w:name="_Toc195781923"/>
      <w:r>
        <w:t>Strategic Documents</w:t>
      </w:r>
      <w:bookmarkEnd w:id="25"/>
    </w:p>
    <w:p w14:paraId="5941CCDB" w14:textId="77777777" w:rsidR="00CE1AF6" w:rsidRDefault="00B4625A" w:rsidP="003E19A1">
      <w:r>
        <w:t xml:space="preserve"> 1.</w:t>
      </w:r>
      <w:r>
        <w:rPr>
          <w:sz w:val="14"/>
          <w:szCs w:val="14"/>
        </w:rPr>
        <w:t xml:space="preserve">  </w:t>
      </w:r>
      <w:r>
        <w:rPr>
          <w:sz w:val="14"/>
          <w:szCs w:val="14"/>
        </w:rPr>
        <w:tab/>
      </w:r>
      <w:r>
        <w:t>The European Council</w:t>
      </w:r>
      <w:r>
        <w:br/>
        <w:t xml:space="preserve"> European Union Strategic Agenda, 2024-2029.</w:t>
      </w:r>
    </w:p>
    <w:p w14:paraId="4C5CDB67" w14:textId="77777777" w:rsidR="00CE1AF6" w:rsidRDefault="00B4625A">
      <w:pPr>
        <w:spacing w:before="0" w:line="235" w:lineRule="auto"/>
        <w:ind w:left="460" w:right="200"/>
      </w:pPr>
      <w:r>
        <w:t>A good place to start learning about the EU’s current concerns is with</w:t>
      </w:r>
      <w:hyperlink r:id="rId18">
        <w:r>
          <w:t xml:space="preserve"> </w:t>
        </w:r>
      </w:hyperlink>
      <w:hyperlink r:id="rId19">
        <w:r>
          <w:rPr>
            <w:color w:val="1155CC"/>
            <w:u w:val="single"/>
          </w:rPr>
          <w:t>European</w:t>
        </w:r>
      </w:hyperlink>
      <w:hyperlink r:id="rId20">
        <w:r>
          <w:rPr>
            <w:i/>
            <w:color w:val="1155CC"/>
            <w:u w:val="single"/>
          </w:rPr>
          <w:t xml:space="preserve"> </w:t>
        </w:r>
      </w:hyperlink>
      <w:hyperlink r:id="rId21">
        <w:r>
          <w:rPr>
            <w:color w:val="1155CC"/>
            <w:u w:val="single"/>
          </w:rPr>
          <w:t>Union Strategic Agenda for 2024-2029</w:t>
        </w:r>
      </w:hyperlink>
      <w:r>
        <w:rPr>
          <w:i/>
        </w:rPr>
        <w:t>.</w:t>
      </w:r>
      <w:r>
        <w:t xml:space="preserve"> “Following the European elections in June 2024, the EU set a number of priorities that shape the political and policy agenda until 2029…” </w:t>
      </w:r>
    </w:p>
    <w:p w14:paraId="2159E333" w14:textId="77777777" w:rsidR="00CE1AF6" w:rsidRDefault="00B4625A">
      <w:pPr>
        <w:spacing w:before="0" w:line="235" w:lineRule="auto"/>
        <w:ind w:left="460" w:right="200"/>
      </w:pPr>
      <w:r>
        <w:t xml:space="preserve"> </w:t>
      </w:r>
    </w:p>
    <w:p w14:paraId="106DDAC5" w14:textId="77777777" w:rsidR="00CE1AF6" w:rsidRDefault="00B4625A">
      <w:pPr>
        <w:spacing w:before="0" w:line="235" w:lineRule="auto"/>
        <w:ind w:left="460" w:right="200"/>
      </w:pPr>
      <w:r>
        <w:t>2.</w:t>
      </w:r>
      <w:r>
        <w:rPr>
          <w:sz w:val="14"/>
          <w:szCs w:val="14"/>
        </w:rPr>
        <w:t xml:space="preserve">  </w:t>
      </w:r>
      <w:r>
        <w:rPr>
          <w:sz w:val="14"/>
          <w:szCs w:val="14"/>
        </w:rPr>
        <w:tab/>
      </w:r>
      <w:r>
        <w:t>European Commission</w:t>
      </w:r>
      <w:r>
        <w:br/>
      </w:r>
      <w:hyperlink r:id="rId22">
        <w:r>
          <w:t xml:space="preserve"> </w:t>
        </w:r>
      </w:hyperlink>
      <w:hyperlink r:id="rId23">
        <w:r>
          <w:rPr>
            <w:color w:val="1155CC"/>
            <w:u w:val="single"/>
          </w:rPr>
          <w:t>Priorities for 2024-2029</w:t>
        </w:r>
      </w:hyperlink>
      <w:r>
        <w:t>.</w:t>
      </w:r>
    </w:p>
    <w:p w14:paraId="616E76BB" w14:textId="77777777" w:rsidR="00CE1AF6" w:rsidRDefault="00B4625A">
      <w:pPr>
        <w:spacing w:before="0" w:line="235" w:lineRule="auto"/>
        <w:ind w:right="200" w:firstLine="360"/>
      </w:pPr>
      <w:r>
        <w:t xml:space="preserve"> </w:t>
      </w:r>
    </w:p>
    <w:p w14:paraId="65CDC27E" w14:textId="77777777" w:rsidR="00CE1AF6" w:rsidRDefault="00B4625A">
      <w:pPr>
        <w:spacing w:before="0" w:line="235" w:lineRule="auto"/>
        <w:ind w:left="460" w:right="820"/>
      </w:pPr>
      <w:r>
        <w:t>3.</w:t>
      </w:r>
      <w:r>
        <w:rPr>
          <w:sz w:val="14"/>
          <w:szCs w:val="14"/>
        </w:rPr>
        <w:t xml:space="preserve">  </w:t>
      </w:r>
      <w:r>
        <w:rPr>
          <w:sz w:val="14"/>
          <w:szCs w:val="14"/>
        </w:rPr>
        <w:tab/>
      </w:r>
      <w:r>
        <w:t>The Trio (The three member states, Presidency of the European Council (1 January 2025-30 June 2026).</w:t>
      </w:r>
      <w:r>
        <w:br/>
      </w:r>
      <w:hyperlink r:id="rId24">
        <w:r>
          <w:t xml:space="preserve"> </w:t>
        </w:r>
      </w:hyperlink>
      <w:hyperlink r:id="rId25">
        <w:r>
          <w:rPr>
            <w:color w:val="1155CC"/>
            <w:u w:val="single"/>
          </w:rPr>
          <w:t>Trio Programme</w:t>
        </w:r>
      </w:hyperlink>
      <w:r>
        <w:t xml:space="preserve"> (Poland, Denmark, Cyprus)</w:t>
      </w:r>
    </w:p>
    <w:p w14:paraId="21AB3E75" w14:textId="77777777" w:rsidR="00CE1AF6" w:rsidRDefault="00B4625A">
      <w:pPr>
        <w:spacing w:before="0" w:line="235" w:lineRule="auto"/>
        <w:ind w:left="460" w:right="820"/>
      </w:pPr>
      <w:r>
        <w:t>Participants should become familiar with the priorities laid out in the trio programme.</w:t>
      </w:r>
    </w:p>
    <w:p w14:paraId="4187CA72" w14:textId="77777777" w:rsidR="00CE1AF6" w:rsidRDefault="00B4625A">
      <w:pPr>
        <w:spacing w:before="0"/>
        <w:ind w:left="0" w:right="820"/>
      </w:pPr>
      <w:r>
        <w:t xml:space="preserve"> </w:t>
      </w:r>
    </w:p>
    <w:p w14:paraId="0B8C1A2B" w14:textId="76C4E079" w:rsidR="003E19A1" w:rsidRDefault="00B4625A">
      <w:pPr>
        <w:spacing w:before="0"/>
        <w:ind w:left="460" w:right="820"/>
      </w:pPr>
      <w:r>
        <w:t>4.</w:t>
      </w:r>
      <w:r>
        <w:rPr>
          <w:sz w:val="14"/>
          <w:szCs w:val="14"/>
        </w:rPr>
        <w:t xml:space="preserve">     </w:t>
      </w:r>
      <w:hyperlink r:id="rId26">
        <w:r>
          <w:rPr>
            <w:sz w:val="14"/>
            <w:szCs w:val="14"/>
          </w:rPr>
          <w:t xml:space="preserve"> </w:t>
        </w:r>
      </w:hyperlink>
      <w:r w:rsidR="003E19A1">
        <w:t>The Polish Presidency</w:t>
      </w:r>
    </w:p>
    <w:p w14:paraId="116E5D3F" w14:textId="7079CBCB" w:rsidR="00CE1AF6" w:rsidRDefault="00B4625A">
      <w:pPr>
        <w:spacing w:before="0"/>
        <w:ind w:left="460" w:right="820"/>
      </w:pPr>
      <w:hyperlink r:id="rId27">
        <w:r>
          <w:rPr>
            <w:color w:val="1155CC"/>
            <w:u w:val="single"/>
          </w:rPr>
          <w:t>Website of the Polish Presidency</w:t>
        </w:r>
      </w:hyperlink>
      <w:r>
        <w:t>.</w:t>
      </w:r>
    </w:p>
    <w:p w14:paraId="51FBE798" w14:textId="4C964555" w:rsidR="00CE1AF6" w:rsidRDefault="00B4625A">
      <w:pPr>
        <w:spacing w:before="0"/>
        <w:ind w:left="460" w:right="820"/>
      </w:pPr>
      <w:hyperlink r:id="rId28">
        <w:r>
          <w:rPr>
            <w:color w:val="1155CC"/>
            <w:u w:val="single"/>
          </w:rPr>
          <w:t>Priorities of the Polish Presidency</w:t>
        </w:r>
      </w:hyperlink>
      <w:r>
        <w:t xml:space="preserve"> (January 1-June 30, 2025)</w:t>
      </w:r>
    </w:p>
    <w:p w14:paraId="47F0846A" w14:textId="77777777" w:rsidR="00CE1AF6" w:rsidRDefault="00B4625A">
      <w:pPr>
        <w:spacing w:before="0"/>
        <w:ind w:left="460" w:right="820"/>
      </w:pPr>
      <w:r>
        <w:t xml:space="preserve"> </w:t>
      </w:r>
    </w:p>
    <w:p w14:paraId="7114BA4F" w14:textId="77777777" w:rsidR="00CE1AF6" w:rsidRDefault="00CE1AF6"/>
    <w:sectPr w:rsidR="00CE1AF6">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A3B9A" w14:textId="77777777" w:rsidR="00340A0C" w:rsidRDefault="00340A0C">
      <w:pPr>
        <w:spacing w:before="0" w:line="240" w:lineRule="auto"/>
      </w:pPr>
      <w:r>
        <w:separator/>
      </w:r>
    </w:p>
  </w:endnote>
  <w:endnote w:type="continuationSeparator" w:id="0">
    <w:p w14:paraId="25F3D30D" w14:textId="77777777" w:rsidR="00340A0C" w:rsidRDefault="00340A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900C2C6-5696-4CBA-802F-28B9281658D6}"/>
    <w:embedBold r:id="rId2" w:fontKey="{8FD77D20-0D1E-43F8-9EF3-145E832D45FB}"/>
  </w:font>
  <w:font w:name="Verdana">
    <w:panose1 w:val="020B0604030504040204"/>
    <w:charset w:val="00"/>
    <w:family w:val="swiss"/>
    <w:pitch w:val="variable"/>
    <w:sig w:usb0="A00006FF" w:usb1="4000205B" w:usb2="00000010" w:usb3="00000000" w:csb0="0000019F" w:csb1="00000000"/>
    <w:embedRegular r:id="rId3" w:fontKey="{7BB51157-268E-449D-B954-089356C10F47}"/>
  </w:font>
  <w:font w:name="Lobster">
    <w:charset w:val="00"/>
    <w:family w:val="auto"/>
    <w:pitch w:val="variable"/>
    <w:sig w:usb0="20000207" w:usb1="00000001" w:usb2="00000000" w:usb3="00000000" w:csb0="00000197" w:csb1="00000000"/>
    <w:embedRegular r:id="rId4" w:fontKey="{8CDDBA47-165F-441A-AD3A-2EB6F7089141}"/>
  </w:font>
  <w:font w:name="Calibri Light">
    <w:panose1 w:val="020F0302020204030204"/>
    <w:charset w:val="00"/>
    <w:family w:val="swiss"/>
    <w:pitch w:val="variable"/>
    <w:sig w:usb0="E4002EFF" w:usb1="C200247B" w:usb2="00000009" w:usb3="00000000" w:csb0="000001FF" w:csb1="00000000"/>
    <w:embedRegular r:id="rId5" w:fontKey="{57DB7990-68EA-40BC-9DA1-0910228198AB}"/>
  </w:font>
  <w:font w:name="Calibri">
    <w:panose1 w:val="020F0502020204030204"/>
    <w:charset w:val="00"/>
    <w:family w:val="swiss"/>
    <w:pitch w:val="variable"/>
    <w:sig w:usb0="E4002EFF" w:usb1="C200247B" w:usb2="00000009" w:usb3="00000000" w:csb0="000001FF" w:csb1="00000000"/>
    <w:embedRegular r:id="rId6" w:fontKey="{9927F682-CA84-4CC0-97F3-74683BA3ED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D801" w14:textId="77777777" w:rsidR="00CE1AF6" w:rsidRDefault="00B4625A">
    <w:pPr>
      <w:pBdr>
        <w:top w:val="nil"/>
        <w:left w:val="nil"/>
        <w:bottom w:val="nil"/>
        <w:right w:val="nil"/>
        <w:between w:val="nil"/>
      </w:pBdr>
      <w:tabs>
        <w:tab w:val="center" w:pos="4680"/>
        <w:tab w:val="right" w:pos="9360"/>
      </w:tabs>
      <w:spacing w:before="0" w:line="240" w:lineRule="auto"/>
      <w:ind w:left="0"/>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87E937B" w14:textId="77777777" w:rsidR="00CE1AF6" w:rsidRDefault="00CE1AF6">
    <w:pPr>
      <w:pBdr>
        <w:top w:val="nil"/>
        <w:left w:val="nil"/>
        <w:bottom w:val="nil"/>
        <w:right w:val="nil"/>
        <w:between w:val="nil"/>
      </w:pBdr>
      <w:tabs>
        <w:tab w:val="center" w:pos="4680"/>
        <w:tab w:val="right" w:pos="9360"/>
      </w:tabs>
      <w:spacing w:before="0" w:line="240" w:lineRule="auto"/>
      <w:ind w:left="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3B884" w14:textId="77777777" w:rsidR="00340A0C" w:rsidRDefault="00340A0C">
      <w:pPr>
        <w:spacing w:before="0" w:line="240" w:lineRule="auto"/>
      </w:pPr>
      <w:r>
        <w:separator/>
      </w:r>
    </w:p>
  </w:footnote>
  <w:footnote w:type="continuationSeparator" w:id="0">
    <w:p w14:paraId="3AD6ADC3" w14:textId="77777777" w:rsidR="00340A0C" w:rsidRDefault="00340A0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596"/>
    <w:multiLevelType w:val="multilevel"/>
    <w:tmpl w:val="F87432C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3494854"/>
    <w:multiLevelType w:val="multilevel"/>
    <w:tmpl w:val="27F2B94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54A7C93"/>
    <w:multiLevelType w:val="multilevel"/>
    <w:tmpl w:val="D4C05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671581"/>
    <w:multiLevelType w:val="multilevel"/>
    <w:tmpl w:val="42180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B90E57"/>
    <w:multiLevelType w:val="multilevel"/>
    <w:tmpl w:val="B40EE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2B5C8C"/>
    <w:multiLevelType w:val="multilevel"/>
    <w:tmpl w:val="6F0A3D7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DAA20A1"/>
    <w:multiLevelType w:val="multilevel"/>
    <w:tmpl w:val="D19845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5A41215"/>
    <w:multiLevelType w:val="multilevel"/>
    <w:tmpl w:val="B4B653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522A61A9"/>
    <w:multiLevelType w:val="multilevel"/>
    <w:tmpl w:val="B7220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6676C20"/>
    <w:multiLevelType w:val="multilevel"/>
    <w:tmpl w:val="8FEA9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62B50EE"/>
    <w:multiLevelType w:val="multilevel"/>
    <w:tmpl w:val="FA9E31F6"/>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1" w15:restartNumberingAfterBreak="0">
    <w:nsid w:val="6AD825F9"/>
    <w:multiLevelType w:val="multilevel"/>
    <w:tmpl w:val="E454F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5137925">
    <w:abstractNumId w:val="4"/>
  </w:num>
  <w:num w:numId="2" w16cid:durableId="72626902">
    <w:abstractNumId w:val="10"/>
  </w:num>
  <w:num w:numId="3" w16cid:durableId="43410713">
    <w:abstractNumId w:val="5"/>
  </w:num>
  <w:num w:numId="4" w16cid:durableId="84691884">
    <w:abstractNumId w:val="3"/>
  </w:num>
  <w:num w:numId="5" w16cid:durableId="711534447">
    <w:abstractNumId w:val="9"/>
  </w:num>
  <w:num w:numId="6" w16cid:durableId="641076564">
    <w:abstractNumId w:val="8"/>
  </w:num>
  <w:num w:numId="7" w16cid:durableId="946350807">
    <w:abstractNumId w:val="0"/>
  </w:num>
  <w:num w:numId="8" w16cid:durableId="1358848278">
    <w:abstractNumId w:val="6"/>
  </w:num>
  <w:num w:numId="9" w16cid:durableId="1069693371">
    <w:abstractNumId w:val="11"/>
  </w:num>
  <w:num w:numId="10" w16cid:durableId="1563715061">
    <w:abstractNumId w:val="2"/>
  </w:num>
  <w:num w:numId="11" w16cid:durableId="1104181432">
    <w:abstractNumId w:val="7"/>
  </w:num>
  <w:num w:numId="12" w16cid:durableId="1464348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AF6"/>
    <w:rsid w:val="0001250A"/>
    <w:rsid w:val="00081E92"/>
    <w:rsid w:val="00147768"/>
    <w:rsid w:val="0017107C"/>
    <w:rsid w:val="00190589"/>
    <w:rsid w:val="0019476C"/>
    <w:rsid w:val="00237CB0"/>
    <w:rsid w:val="00242157"/>
    <w:rsid w:val="00243BEF"/>
    <w:rsid w:val="002575AE"/>
    <w:rsid w:val="00272784"/>
    <w:rsid w:val="003166F1"/>
    <w:rsid w:val="00340A0C"/>
    <w:rsid w:val="00341753"/>
    <w:rsid w:val="003E19A1"/>
    <w:rsid w:val="00420FA0"/>
    <w:rsid w:val="00443B81"/>
    <w:rsid w:val="00487F50"/>
    <w:rsid w:val="004A4804"/>
    <w:rsid w:val="004B56A9"/>
    <w:rsid w:val="004C795A"/>
    <w:rsid w:val="005063B2"/>
    <w:rsid w:val="00581E28"/>
    <w:rsid w:val="005B6E27"/>
    <w:rsid w:val="005C66EB"/>
    <w:rsid w:val="006346C8"/>
    <w:rsid w:val="006421FC"/>
    <w:rsid w:val="006C4271"/>
    <w:rsid w:val="00760D6E"/>
    <w:rsid w:val="00793A51"/>
    <w:rsid w:val="00796D61"/>
    <w:rsid w:val="008241FB"/>
    <w:rsid w:val="00825C09"/>
    <w:rsid w:val="00851086"/>
    <w:rsid w:val="00870CB5"/>
    <w:rsid w:val="00931BEF"/>
    <w:rsid w:val="009A52BE"/>
    <w:rsid w:val="00A70DB5"/>
    <w:rsid w:val="00AA19FD"/>
    <w:rsid w:val="00AC1547"/>
    <w:rsid w:val="00AE403F"/>
    <w:rsid w:val="00B300E5"/>
    <w:rsid w:val="00B4625A"/>
    <w:rsid w:val="00B6127B"/>
    <w:rsid w:val="00B71C6A"/>
    <w:rsid w:val="00BA7F7C"/>
    <w:rsid w:val="00C46973"/>
    <w:rsid w:val="00C613CA"/>
    <w:rsid w:val="00C71780"/>
    <w:rsid w:val="00CA60D2"/>
    <w:rsid w:val="00CC5E0B"/>
    <w:rsid w:val="00CE1AF6"/>
    <w:rsid w:val="00CE273D"/>
    <w:rsid w:val="00CF20D2"/>
    <w:rsid w:val="00D8358E"/>
    <w:rsid w:val="00DA207B"/>
    <w:rsid w:val="00E37216"/>
    <w:rsid w:val="00ED64E6"/>
    <w:rsid w:val="00EF09B2"/>
    <w:rsid w:val="00EF5720"/>
    <w:rsid w:val="00F0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FE7BE"/>
  <w15:docId w15:val="{96C40C3A-2C40-4DBF-B686-CF219B612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spacing w:before="240" w:line="276"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A17"/>
    <w:rPr>
      <w:rFonts w:eastAsia="Arial" w:cs="Arial"/>
    </w:rPr>
  </w:style>
  <w:style w:type="paragraph" w:styleId="Heading1">
    <w:name w:val="heading 1"/>
    <w:basedOn w:val="Normal"/>
    <w:next w:val="Normal"/>
    <w:link w:val="Heading1Char"/>
    <w:uiPriority w:val="9"/>
    <w:qFormat/>
    <w:rsid w:val="00F368EA"/>
    <w:pPr>
      <w:keepNext/>
      <w:keepLines/>
      <w:spacing w:after="240"/>
      <w:jc w:val="center"/>
      <w:outlineLvl w:val="0"/>
    </w:pPr>
    <w:rPr>
      <w:rFonts w:eastAsia="Times New Roman" w:cs="Times New Roman"/>
      <w:b/>
      <w:sz w:val="32"/>
      <w:szCs w:val="48"/>
      <w:lang w:val="en-US"/>
    </w:rPr>
  </w:style>
  <w:style w:type="paragraph" w:styleId="Heading2">
    <w:name w:val="heading 2"/>
    <w:basedOn w:val="Normal"/>
    <w:next w:val="Normal"/>
    <w:link w:val="Heading2Char"/>
    <w:uiPriority w:val="9"/>
    <w:unhideWhenUsed/>
    <w:qFormat/>
    <w:rsid w:val="00E4564E"/>
    <w:pPr>
      <w:keepNext/>
      <w:keepLines/>
      <w:spacing w:after="120"/>
      <w:jc w:val="center"/>
      <w:outlineLvl w:val="1"/>
    </w:pPr>
    <w:rPr>
      <w:rFonts w:eastAsia="Times New Roman" w:cs="Times New Roman"/>
      <w:b/>
      <w:color w:val="202124"/>
      <w:sz w:val="32"/>
      <w:szCs w:val="32"/>
    </w:rPr>
  </w:style>
  <w:style w:type="paragraph" w:styleId="Heading3">
    <w:name w:val="heading 3"/>
    <w:basedOn w:val="Normal"/>
    <w:next w:val="Normal"/>
    <w:link w:val="Heading3Char"/>
    <w:uiPriority w:val="9"/>
    <w:unhideWhenUsed/>
    <w:qFormat/>
    <w:rsid w:val="00E4564E"/>
    <w:pPr>
      <w:keepNext/>
      <w:keepLines/>
      <w:spacing w:after="240"/>
      <w:jc w:val="center"/>
      <w:outlineLvl w:val="2"/>
    </w:pPr>
    <w:rPr>
      <w:rFonts w:eastAsia="Times New Roman" w:cs="Times New Roman"/>
      <w:b/>
      <w:highlight w:val="white"/>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character" w:customStyle="1" w:styleId="Heading1Char">
    <w:name w:val="Heading 1 Char"/>
    <w:basedOn w:val="DefaultParagraphFont"/>
    <w:link w:val="Heading1"/>
    <w:uiPriority w:val="9"/>
    <w:rsid w:val="00F368EA"/>
    <w:rPr>
      <w:rFonts w:ascii="Times New Roman" w:eastAsia="Times New Roman" w:hAnsi="Times New Roman" w:cs="Times New Roman"/>
      <w:b/>
      <w:kern w:val="0"/>
      <w:sz w:val="32"/>
      <w:szCs w:val="48"/>
    </w:rPr>
  </w:style>
  <w:style w:type="character" w:customStyle="1" w:styleId="Heading2Char">
    <w:name w:val="Heading 2 Char"/>
    <w:basedOn w:val="DefaultParagraphFont"/>
    <w:link w:val="Heading2"/>
    <w:uiPriority w:val="9"/>
    <w:rsid w:val="00E4564E"/>
    <w:rPr>
      <w:rFonts w:ascii="Times New Roman" w:eastAsia="Times New Roman" w:hAnsi="Times New Roman" w:cs="Times New Roman"/>
      <w:b/>
      <w:color w:val="202124"/>
      <w:kern w:val="0"/>
      <w:sz w:val="32"/>
      <w:szCs w:val="32"/>
      <w:lang w:val="en-GB"/>
    </w:rPr>
  </w:style>
  <w:style w:type="character" w:customStyle="1" w:styleId="Heading3Char">
    <w:name w:val="Heading 3 Char"/>
    <w:basedOn w:val="DefaultParagraphFont"/>
    <w:link w:val="Heading3"/>
    <w:uiPriority w:val="9"/>
    <w:rsid w:val="00E4564E"/>
    <w:rPr>
      <w:rFonts w:ascii="Times New Roman" w:eastAsia="Times New Roman" w:hAnsi="Times New Roman" w:cs="Times New Roman"/>
      <w:b/>
      <w:kern w:val="0"/>
      <w:sz w:val="24"/>
      <w:szCs w:val="24"/>
      <w:highlight w:val="white"/>
      <w:lang w:val="en-GB"/>
    </w:rPr>
  </w:style>
  <w:style w:type="table" w:styleId="TableGrid">
    <w:name w:val="Table Grid"/>
    <w:basedOn w:val="TableNormal"/>
    <w:uiPriority w:val="39"/>
    <w:rsid w:val="00755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1E8"/>
    <w:pPr>
      <w:tabs>
        <w:tab w:val="center" w:pos="4680"/>
        <w:tab w:val="right" w:pos="9360"/>
      </w:tabs>
      <w:spacing w:line="240" w:lineRule="auto"/>
    </w:pPr>
  </w:style>
  <w:style w:type="character" w:customStyle="1" w:styleId="HeaderChar">
    <w:name w:val="Header Char"/>
    <w:basedOn w:val="DefaultParagraphFont"/>
    <w:link w:val="Header"/>
    <w:uiPriority w:val="99"/>
    <w:rsid w:val="00FF01E8"/>
    <w:rPr>
      <w:rFonts w:ascii="Arial" w:eastAsia="Arial" w:hAnsi="Arial" w:cs="Arial"/>
      <w:kern w:val="0"/>
      <w:lang w:val="en-GB"/>
    </w:rPr>
  </w:style>
  <w:style w:type="paragraph" w:styleId="Footer">
    <w:name w:val="footer"/>
    <w:basedOn w:val="Normal"/>
    <w:link w:val="FooterChar"/>
    <w:uiPriority w:val="99"/>
    <w:unhideWhenUsed/>
    <w:rsid w:val="00FF01E8"/>
    <w:pPr>
      <w:tabs>
        <w:tab w:val="center" w:pos="4680"/>
        <w:tab w:val="right" w:pos="9360"/>
      </w:tabs>
      <w:spacing w:line="240" w:lineRule="auto"/>
    </w:pPr>
  </w:style>
  <w:style w:type="character" w:customStyle="1" w:styleId="FooterChar">
    <w:name w:val="Footer Char"/>
    <w:basedOn w:val="DefaultParagraphFont"/>
    <w:link w:val="Footer"/>
    <w:uiPriority w:val="99"/>
    <w:rsid w:val="00FF01E8"/>
    <w:rPr>
      <w:rFonts w:ascii="Arial" w:eastAsia="Arial" w:hAnsi="Arial" w:cs="Arial"/>
      <w:kern w:val="0"/>
      <w:lang w:val="en-GB"/>
    </w:rPr>
  </w:style>
  <w:style w:type="paragraph" w:styleId="NormalWeb">
    <w:name w:val="Normal (Web)"/>
    <w:basedOn w:val="Normal"/>
    <w:uiPriority w:val="99"/>
    <w:semiHidden/>
    <w:unhideWhenUsed/>
    <w:rsid w:val="00184D79"/>
    <w:pPr>
      <w:spacing w:before="100" w:beforeAutospacing="1" w:after="100" w:afterAutospacing="1" w:line="240" w:lineRule="auto"/>
    </w:pPr>
    <w:rPr>
      <w:rFonts w:eastAsia="Times New Roman" w:cs="Times New Roman"/>
      <w:lang w:val="en-US"/>
    </w:rPr>
  </w:style>
  <w:style w:type="paragraph" w:styleId="ListParagraph">
    <w:name w:val="List Paragraph"/>
    <w:basedOn w:val="Normal"/>
    <w:uiPriority w:val="34"/>
    <w:qFormat/>
    <w:rsid w:val="009334A9"/>
    <w:pPr>
      <w:ind w:left="720"/>
      <w:contextualSpacing/>
    </w:pPr>
  </w:style>
  <w:style w:type="character" w:styleId="Hyperlink">
    <w:name w:val="Hyperlink"/>
    <w:basedOn w:val="DefaultParagraphFont"/>
    <w:uiPriority w:val="99"/>
    <w:unhideWhenUsed/>
    <w:rsid w:val="00DF6529"/>
    <w:rPr>
      <w:color w:val="0563C1" w:themeColor="hyperlink"/>
      <w:u w:val="single"/>
    </w:rPr>
  </w:style>
  <w:style w:type="character" w:styleId="UnresolvedMention">
    <w:name w:val="Unresolved Mention"/>
    <w:basedOn w:val="DefaultParagraphFont"/>
    <w:uiPriority w:val="99"/>
    <w:semiHidden/>
    <w:unhideWhenUsed/>
    <w:rsid w:val="00DF6529"/>
    <w:rPr>
      <w:color w:val="605E5C"/>
      <w:shd w:val="clear" w:color="auto" w:fill="E1DFDD"/>
    </w:rPr>
  </w:style>
  <w:style w:type="paragraph" w:styleId="Subtitle">
    <w:name w:val="Subtitle"/>
    <w:basedOn w:val="Normal"/>
    <w:next w:val="Normal"/>
    <w:uiPriority w:val="11"/>
    <w:qFormat/>
    <w:pPr>
      <w:keepNext/>
      <w:keepLines/>
      <w:spacing w:before="0" w:after="320"/>
    </w:pPr>
    <w:rPr>
      <w:rFonts w:ascii="Arial" w:hAnsi="Arial"/>
      <w:color w:val="666666"/>
      <w:sz w:val="30"/>
      <w:szCs w:val="30"/>
    </w:rPr>
  </w:style>
  <w:style w:type="paragraph" w:styleId="TOC1">
    <w:name w:val="toc 1"/>
    <w:basedOn w:val="Normal"/>
    <w:next w:val="Normal"/>
    <w:autoRedefine/>
    <w:uiPriority w:val="39"/>
    <w:unhideWhenUsed/>
    <w:rsid w:val="0019476C"/>
    <w:pPr>
      <w:spacing w:after="100"/>
      <w:ind w:left="0"/>
    </w:pPr>
  </w:style>
  <w:style w:type="paragraph" w:styleId="TOC2">
    <w:name w:val="toc 2"/>
    <w:basedOn w:val="Normal"/>
    <w:next w:val="Normal"/>
    <w:autoRedefine/>
    <w:uiPriority w:val="39"/>
    <w:unhideWhenUsed/>
    <w:rsid w:val="0019476C"/>
    <w:pPr>
      <w:spacing w:after="100"/>
      <w:ind w:left="240"/>
    </w:pPr>
  </w:style>
  <w:style w:type="paragraph" w:styleId="NoSpacing">
    <w:name w:val="No Spacing"/>
    <w:uiPriority w:val="1"/>
    <w:qFormat/>
    <w:rsid w:val="004C795A"/>
    <w:pPr>
      <w:spacing w:before="0" w:line="240" w:lineRule="auto"/>
    </w:pPr>
    <w:rPr>
      <w:rFonts w:eastAsia="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uegel.org/policy-brief/governance-and-funding-european-rearmament" TargetMode="External"/><Relationship Id="rId18" Type="http://schemas.openxmlformats.org/officeDocument/2006/relationships/hyperlink" Target="https://www.consilium.europa.eu/en/eu-strategic-agenda-2019-2024/" TargetMode="External"/><Relationship Id="rId26" Type="http://schemas.openxmlformats.org/officeDocument/2006/relationships/hyperlink" Target="https://polish-presidency.consilium.europa.eu/" TargetMode="External"/><Relationship Id="rId3" Type="http://schemas.openxmlformats.org/officeDocument/2006/relationships/styles" Target="styles.xml"/><Relationship Id="rId21" Type="http://schemas.openxmlformats.org/officeDocument/2006/relationships/hyperlink" Target="https://www.consilium.europa.eu/en/eu-strategic-agenda-2019-2024/" TargetMode="External"/><Relationship Id="rId7" Type="http://schemas.openxmlformats.org/officeDocument/2006/relationships/endnotes" Target="endnotes.xml"/><Relationship Id="rId12" Type="http://schemas.openxmlformats.org/officeDocument/2006/relationships/hyperlink" Target="https://commission.europa.eu/topics/eu-competitiveness/clean-industrial-deal_en" TargetMode="External"/><Relationship Id="rId17" Type="http://schemas.openxmlformats.org/officeDocument/2006/relationships/hyperlink" Target="https://commission.europa.eu/topics/eu-competitiveness/ai-continent_en" TargetMode="External"/><Relationship Id="rId25" Type="http://schemas.openxmlformats.org/officeDocument/2006/relationships/hyperlink" Target="https://polish-presidency.consilium.europa.eu/en/programme/trio-programme/" TargetMode="External"/><Relationship Id="rId2" Type="http://schemas.openxmlformats.org/officeDocument/2006/relationships/numbering" Target="numbering.xml"/><Relationship Id="rId16" Type="http://schemas.openxmlformats.org/officeDocument/2006/relationships/hyperlink" Target="https://www.ses.com/press-release/spacerise-signs-concession-contract-deliver-europes-iris2-connectivity-network" TargetMode="External"/><Relationship Id="rId20" Type="http://schemas.openxmlformats.org/officeDocument/2006/relationships/hyperlink" Target="https://www.consilium.europa.eu/en/eu-strategic-agenda-2019-202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ccc.int/cop29" TargetMode="External"/><Relationship Id="rId24" Type="http://schemas.openxmlformats.org/officeDocument/2006/relationships/hyperlink" Target="https://polish-presidency.consilium.europa.eu/en/programme/trio-programme/" TargetMode="External"/><Relationship Id="rId5" Type="http://schemas.openxmlformats.org/officeDocument/2006/relationships/webSettings" Target="webSettings.xml"/><Relationship Id="rId15" Type="http://schemas.openxmlformats.org/officeDocument/2006/relationships/hyperlink" Target="https://defence-industry-space.ec.europa.eu/eu-space/iris2-secure-connectivity_en" TargetMode="External"/><Relationship Id="rId23" Type="http://schemas.openxmlformats.org/officeDocument/2006/relationships/hyperlink" Target="https://commission.europa.eu/priorities-2024-2029_en" TargetMode="External"/><Relationship Id="rId28" Type="http://schemas.openxmlformats.org/officeDocument/2006/relationships/hyperlink" Target="https://polish-presidency.consilium.europa.eu/en/programme/programme-of-the-presidency/" TargetMode="External"/><Relationship Id="rId10" Type="http://schemas.openxmlformats.org/officeDocument/2006/relationships/hyperlink" Target="https://climate.copernicus.eu/copernicus-2024-first-year-exceed-15degc-above-pre-industrial-level" TargetMode="External"/><Relationship Id="rId19" Type="http://schemas.openxmlformats.org/officeDocument/2006/relationships/hyperlink" Target="https://www.consilium.europa.eu/en/eu-strategic-agenda-2019-202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fence-industry-space.ec.europa.eu/eu-space/iris2-secure-connectivity_en" TargetMode="External"/><Relationship Id="rId22" Type="http://schemas.openxmlformats.org/officeDocument/2006/relationships/hyperlink" Target="https://commission.europa.eu/priorities-2024-2029_en" TargetMode="External"/><Relationship Id="rId27" Type="http://schemas.openxmlformats.org/officeDocument/2006/relationships/hyperlink" Target="https://polish-presidency.consilium.europa.eu/"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1zVjn1q6MjK6Uerwec0U3QkcdA==">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6268</Words>
  <Characters>35733</Characters>
  <Application>Microsoft Office Word</Application>
  <DocSecurity>0</DocSecurity>
  <Lines>297</Lines>
  <Paragraphs>83</Paragraphs>
  <ScaleCrop>false</ScaleCrop>
  <Company/>
  <LinksUpToDate>false</LinksUpToDate>
  <CharactersWithSpaces>41918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Buonanno</dc:creator>
  <cp:lastModifiedBy>LB </cp:lastModifiedBy>
  <cp:revision>3</cp:revision>
  <cp:lastPrinted>2025-04-17T14:25:00Z</cp:lastPrinted>
  <dcterms:created xsi:type="dcterms:W3CDTF">2025-04-17T15:31:00Z</dcterms:created>
  <dcterms:modified xsi:type="dcterms:W3CDTF">2025-04-17T15:35:00Z</dcterms:modified>
</cp:coreProperties>
</file>